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155"/>
        <w:gridCol w:w="2906"/>
      </w:tblGrid>
      <w:tr w:rsidR="00C17E3B" w:rsidRPr="00C17E3B" w:rsidTr="00C17E3B">
        <w:trPr>
          <w:tblCellSpacing w:w="15" w:type="dxa"/>
        </w:trPr>
        <w:tc>
          <w:tcPr>
            <w:tcW w:w="0" w:type="auto"/>
            <w:shd w:val="clear" w:color="auto" w:fill="990000"/>
            <w:vAlign w:val="center"/>
            <w:hideMark/>
          </w:tcPr>
          <w:p w:rsidR="00C17E3B" w:rsidRPr="00C17E3B" w:rsidRDefault="00BD7D2C" w:rsidP="00BD7D2C">
            <w:pPr>
              <w:spacing w:after="0" w:line="240" w:lineRule="auto"/>
              <w:rPr>
                <w:rFonts w:ascii="Times New Roman" w:eastAsia="Times New Roman" w:hAnsi="Times New Roman" w:cs="Times New Roman"/>
                <w:b/>
                <w:color w:val="000000"/>
                <w:sz w:val="24"/>
                <w:szCs w:val="24"/>
                <w:lang w:eastAsia="fr-FR"/>
              </w:rPr>
            </w:pPr>
            <w:proofErr w:type="spellStart"/>
            <w:r w:rsidRPr="00BD7D2C">
              <w:rPr>
                <w:rFonts w:ascii="Times New Roman" w:eastAsia="Times New Roman" w:hAnsi="Times New Roman" w:cs="Times New Roman"/>
                <w:b/>
                <w:color w:val="000000"/>
                <w:sz w:val="24"/>
                <w:szCs w:val="24"/>
                <w:lang w:eastAsia="fr-FR"/>
              </w:rPr>
              <w:t>E</w:t>
            </w:r>
            <w:r w:rsidRPr="00C17E3B">
              <w:rPr>
                <w:rFonts w:ascii="Times New Roman" w:eastAsia="Times New Roman" w:hAnsi="Times New Roman" w:cs="Times New Roman"/>
                <w:b/>
                <w:color w:val="000000"/>
                <w:sz w:val="24"/>
                <w:szCs w:val="24"/>
                <w:lang w:eastAsia="fr-FR"/>
              </w:rPr>
              <w:t>toricoxib</w:t>
            </w:r>
            <w:proofErr w:type="spellEnd"/>
            <w:r w:rsidR="00C17E3B" w:rsidRPr="00C17E3B">
              <w:rPr>
                <w:rFonts w:ascii="Times New Roman" w:eastAsia="Times New Roman" w:hAnsi="Times New Roman" w:cs="Times New Roman"/>
                <w:b/>
                <w:color w:val="000000"/>
                <w:sz w:val="24"/>
                <w:szCs w:val="24"/>
                <w:lang w:eastAsia="fr-FR"/>
              </w:rPr>
              <w:t xml:space="preserve"> </w:t>
            </w:r>
          </w:p>
        </w:tc>
        <w:tc>
          <w:tcPr>
            <w:tcW w:w="0" w:type="auto"/>
            <w:vAlign w:val="center"/>
            <w:hideMark/>
          </w:tcPr>
          <w:p w:rsidR="00C17E3B" w:rsidRPr="00C17E3B" w:rsidRDefault="00C17E3B" w:rsidP="00BD7D2C">
            <w:pPr>
              <w:spacing w:after="0" w:line="240" w:lineRule="auto"/>
              <w:rPr>
                <w:rFonts w:ascii="Times New Roman" w:eastAsia="Times New Roman" w:hAnsi="Times New Roman" w:cs="Times New Roman"/>
                <w:color w:val="000000"/>
                <w:sz w:val="24"/>
                <w:szCs w:val="24"/>
                <w:lang w:eastAsia="fr-FR"/>
              </w:rPr>
            </w:pPr>
            <w:r w:rsidRPr="00C17E3B">
              <w:rPr>
                <w:rFonts w:ascii="Verdana" w:eastAsia="Times New Roman" w:hAnsi="Verdana" w:cs="Times New Roman"/>
                <w:b/>
                <w:bCs/>
                <w:color w:val="990000"/>
                <w:sz w:val="24"/>
                <w:szCs w:val="24"/>
                <w:lang w:eastAsia="fr-FR"/>
              </w:rPr>
              <w:t>PHARMACODYNAMIE</w:t>
            </w:r>
          </w:p>
        </w:tc>
      </w:tr>
    </w:tbl>
    <w:p w:rsidR="00C17E3B" w:rsidRPr="00C17E3B" w:rsidRDefault="00C17E3B" w:rsidP="00C17E3B">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Classe </w:t>
      </w:r>
      <w:proofErr w:type="spellStart"/>
      <w:r w:rsidRPr="00C17E3B">
        <w:rPr>
          <w:rFonts w:ascii="Times New Roman" w:eastAsia="Times New Roman" w:hAnsi="Times New Roman" w:cs="Times New Roman"/>
          <w:color w:val="000000"/>
          <w:sz w:val="24"/>
          <w:szCs w:val="24"/>
          <w:lang w:eastAsia="fr-FR"/>
        </w:rPr>
        <w:t>pharmacothérapeutique</w:t>
      </w:r>
      <w:proofErr w:type="spellEnd"/>
      <w:r w:rsidRPr="00C17E3B">
        <w:rPr>
          <w:rFonts w:ascii="Times New Roman" w:eastAsia="Times New Roman" w:hAnsi="Times New Roman" w:cs="Times New Roman"/>
          <w:color w:val="000000"/>
          <w:sz w:val="24"/>
          <w:szCs w:val="24"/>
          <w:lang w:eastAsia="fr-FR"/>
        </w:rPr>
        <w:t xml:space="preserve"> : anti-inflammatoires et antirhumatismaux, non stéroïdiens, </w:t>
      </w:r>
      <w:proofErr w:type="spellStart"/>
      <w:r w:rsidRPr="00C17E3B">
        <w:rPr>
          <w:rFonts w:ascii="Times New Roman" w:eastAsia="Times New Roman" w:hAnsi="Times New Roman" w:cs="Times New Roman"/>
          <w:color w:val="000000"/>
          <w:sz w:val="24"/>
          <w:szCs w:val="24"/>
          <w:lang w:eastAsia="fr-FR"/>
        </w:rPr>
        <w:t>coxibs</w:t>
      </w:r>
      <w:proofErr w:type="spellEnd"/>
      <w:r w:rsidRPr="00C17E3B">
        <w:rPr>
          <w:rFonts w:ascii="Times New Roman" w:eastAsia="Times New Roman" w:hAnsi="Times New Roman" w:cs="Times New Roman"/>
          <w:color w:val="000000"/>
          <w:sz w:val="24"/>
          <w:szCs w:val="24"/>
          <w:lang w:eastAsia="fr-FR"/>
        </w:rPr>
        <w:t xml:space="preserve"> (code ATC : M01AH05). </w:t>
      </w:r>
    </w:p>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b/>
          <w:bCs/>
          <w:i/>
          <w:iCs/>
          <w:color w:val="000000"/>
          <w:sz w:val="24"/>
          <w:szCs w:val="24"/>
          <w:lang w:eastAsia="fr-FR"/>
        </w:rPr>
        <w:t xml:space="preserve">Mécanisme d'action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Aux doses thérapeutiques,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par voie orale est un inhibiteur sélectif de la </w:t>
      </w:r>
      <w:proofErr w:type="spellStart"/>
      <w:r w:rsidRPr="00C17E3B">
        <w:rPr>
          <w:rFonts w:ascii="Times New Roman" w:eastAsia="Times New Roman" w:hAnsi="Times New Roman" w:cs="Times New Roman"/>
          <w:color w:val="000000"/>
          <w:sz w:val="24"/>
          <w:szCs w:val="24"/>
          <w:lang w:eastAsia="fr-FR"/>
        </w:rPr>
        <w:t>cyclo</w:t>
      </w:r>
      <w:proofErr w:type="spellEnd"/>
      <w:r w:rsidRPr="00C17E3B">
        <w:rPr>
          <w:rFonts w:ascii="Times New Roman" w:eastAsia="Times New Roman" w:hAnsi="Times New Roman" w:cs="Times New Roman"/>
          <w:color w:val="000000"/>
          <w:sz w:val="24"/>
          <w:szCs w:val="24"/>
          <w:lang w:eastAsia="fr-FR"/>
        </w:rPr>
        <w:t xml:space="preserve">-oxygénase-2 (COX-2).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Au cours des études de pharmacologie clinique,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a entraîné une inhibition dose-dépendante de la COX-2, sans inhibition de la COX-1, à des doses allant jusqu'à 150 mg par jour.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n'a pas inhibé la synthèse des prostaglandines gastriques et n'a pas eu d'effet sur la fonction plaquettaire.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La </w:t>
      </w:r>
      <w:proofErr w:type="spellStart"/>
      <w:r w:rsidRPr="00C17E3B">
        <w:rPr>
          <w:rFonts w:ascii="Times New Roman" w:eastAsia="Times New Roman" w:hAnsi="Times New Roman" w:cs="Times New Roman"/>
          <w:color w:val="000000"/>
          <w:sz w:val="24"/>
          <w:szCs w:val="24"/>
          <w:lang w:eastAsia="fr-FR"/>
        </w:rPr>
        <w:t>cyclo</w:t>
      </w:r>
      <w:proofErr w:type="spellEnd"/>
      <w:r w:rsidRPr="00C17E3B">
        <w:rPr>
          <w:rFonts w:ascii="Times New Roman" w:eastAsia="Times New Roman" w:hAnsi="Times New Roman" w:cs="Times New Roman"/>
          <w:color w:val="000000"/>
          <w:sz w:val="24"/>
          <w:szCs w:val="24"/>
          <w:lang w:eastAsia="fr-FR"/>
        </w:rPr>
        <w:t xml:space="preserve">-oxygénase est responsable de la synthèse des prostaglandines. Deux </w:t>
      </w:r>
      <w:proofErr w:type="spellStart"/>
      <w:r w:rsidRPr="00C17E3B">
        <w:rPr>
          <w:rFonts w:ascii="Times New Roman" w:eastAsia="Times New Roman" w:hAnsi="Times New Roman" w:cs="Times New Roman"/>
          <w:color w:val="000000"/>
          <w:sz w:val="24"/>
          <w:szCs w:val="24"/>
          <w:lang w:eastAsia="fr-FR"/>
        </w:rPr>
        <w:t>isoformes</w:t>
      </w:r>
      <w:proofErr w:type="spellEnd"/>
      <w:r w:rsidRPr="00C17E3B">
        <w:rPr>
          <w:rFonts w:ascii="Times New Roman" w:eastAsia="Times New Roman" w:hAnsi="Times New Roman" w:cs="Times New Roman"/>
          <w:color w:val="000000"/>
          <w:sz w:val="24"/>
          <w:szCs w:val="24"/>
          <w:lang w:eastAsia="fr-FR"/>
        </w:rPr>
        <w:t>, la COX-1 et la COX-2 ont été identifiées. La COX-2 est l'</w:t>
      </w:r>
      <w:proofErr w:type="spellStart"/>
      <w:r w:rsidRPr="00C17E3B">
        <w:rPr>
          <w:rFonts w:ascii="Times New Roman" w:eastAsia="Times New Roman" w:hAnsi="Times New Roman" w:cs="Times New Roman"/>
          <w:color w:val="000000"/>
          <w:sz w:val="24"/>
          <w:szCs w:val="24"/>
          <w:lang w:eastAsia="fr-FR"/>
        </w:rPr>
        <w:t>isoforme</w:t>
      </w:r>
      <w:proofErr w:type="spellEnd"/>
      <w:r w:rsidRPr="00C17E3B">
        <w:rPr>
          <w:rFonts w:ascii="Times New Roman" w:eastAsia="Times New Roman" w:hAnsi="Times New Roman" w:cs="Times New Roman"/>
          <w:color w:val="000000"/>
          <w:sz w:val="24"/>
          <w:szCs w:val="24"/>
          <w:lang w:eastAsia="fr-FR"/>
        </w:rPr>
        <w:t xml:space="preserve"> de l'enzyme induite par des stimuli pro-inflammatoires, et est supposée être principalement responsable de la synthèse des médiateurs </w:t>
      </w:r>
      <w:proofErr w:type="spellStart"/>
      <w:r w:rsidRPr="00C17E3B">
        <w:rPr>
          <w:rFonts w:ascii="Times New Roman" w:eastAsia="Times New Roman" w:hAnsi="Times New Roman" w:cs="Times New Roman"/>
          <w:color w:val="000000"/>
          <w:sz w:val="24"/>
          <w:szCs w:val="24"/>
          <w:lang w:eastAsia="fr-FR"/>
        </w:rPr>
        <w:t>prostanoïdes</w:t>
      </w:r>
      <w:proofErr w:type="spellEnd"/>
      <w:r w:rsidRPr="00C17E3B">
        <w:rPr>
          <w:rFonts w:ascii="Times New Roman" w:eastAsia="Times New Roman" w:hAnsi="Times New Roman" w:cs="Times New Roman"/>
          <w:color w:val="000000"/>
          <w:sz w:val="24"/>
          <w:szCs w:val="24"/>
          <w:lang w:eastAsia="fr-FR"/>
        </w:rPr>
        <w:t xml:space="preserve"> de la douleur, de l'inflammation et de la fièvre. La COX-2 est également impliquée dans l'ovulation, l'implantation et la fermeture du canal artériel, la régulation de la fonction rénale et certaines fonctions du système nerveux central (induction de la fièvre, perception de la douleur et fonction cognitive). Elle pourrait jouer également un rôle dans la cicatrisation de l'ulcère. La COX-2 a été identifiée dans les tissus situés autour de l'ulcère gastrique chez l'homme, mais son implication dans la cicatrisation de l'ulcère n'a pas été établie. </w:t>
      </w:r>
    </w:p>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b/>
          <w:bCs/>
          <w:i/>
          <w:iCs/>
          <w:color w:val="000000"/>
          <w:sz w:val="24"/>
          <w:szCs w:val="24"/>
          <w:lang w:eastAsia="fr-FR"/>
        </w:rPr>
        <w:t xml:space="preserve">Efficacité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Chez des patients atteints d'arthrose,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une fois par jour a entraîné une diminution significative de la douleur et une amélioration de l'état de la maladie évalué par le patient. Ces effets bénéfiques ont été observés dès le deuxième jour de traitement et se sont maintenus jusqu'à 52 semaines. Des études réalisées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30 mg une fois par jour ont mis en évidence une efficacité supérieure à celle du placebo sur une période de 12 semaines de traitement (critères d'évaluation similaires aux études ci-dessus). Dans une étude de recherche de dose,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a démontré une amélioration significativement supérieure à celle obtenue avec la dose de 30 mg sur les 3 principaux critères de jugement, pendant les 6 semaines de traitement. La dose de 30 mg n'a pas été étudiée dans l'arthrose de la main.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Dans des études spécifiquement conçues pour évaluer le délai d'action de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celui-ci est survenu dès la 24</w:t>
      </w:r>
      <w:r w:rsidRPr="00C17E3B">
        <w:rPr>
          <w:rFonts w:ascii="Verdana" w:eastAsia="Times New Roman" w:hAnsi="Verdana" w:cs="Times New Roman"/>
          <w:color w:val="000000"/>
          <w:sz w:val="20"/>
          <w:szCs w:val="20"/>
          <w:vertAlign w:val="superscript"/>
          <w:lang w:eastAsia="fr-FR"/>
        </w:rPr>
        <w:t>e</w:t>
      </w:r>
      <w:r w:rsidRPr="00C17E3B">
        <w:rPr>
          <w:rFonts w:ascii="Times New Roman" w:eastAsia="Times New Roman" w:hAnsi="Times New Roman" w:cs="Times New Roman"/>
          <w:color w:val="000000"/>
          <w:sz w:val="24"/>
          <w:szCs w:val="24"/>
          <w:lang w:eastAsia="fr-FR"/>
        </w:rPr>
        <w:t xml:space="preserve"> minute suivant la prise. </w:t>
      </w:r>
    </w:p>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b/>
          <w:bCs/>
          <w:i/>
          <w:iCs/>
          <w:color w:val="000000"/>
          <w:sz w:val="24"/>
          <w:szCs w:val="24"/>
          <w:lang w:eastAsia="fr-FR"/>
        </w:rPr>
        <w:t xml:space="preserve">Sécurité d'emploi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Programme MEDAL (Multinational </w:t>
      </w:r>
      <w:proofErr w:type="spellStart"/>
      <w:r w:rsidRPr="00C17E3B">
        <w:rPr>
          <w:rFonts w:ascii="Times New Roman" w:eastAsia="Times New Roman" w:hAnsi="Times New Roman" w:cs="Times New Roman"/>
          <w:i/>
          <w:iCs/>
          <w:color w:val="000000"/>
          <w:sz w:val="24"/>
          <w:szCs w:val="24"/>
          <w:lang w:eastAsia="fr-FR"/>
        </w:rPr>
        <w:t>etoricoxib</w:t>
      </w:r>
      <w:proofErr w:type="spellEnd"/>
      <w:r w:rsidRPr="00C17E3B">
        <w:rPr>
          <w:rFonts w:ascii="Times New Roman" w:eastAsia="Times New Roman" w:hAnsi="Times New Roman" w:cs="Times New Roman"/>
          <w:i/>
          <w:iCs/>
          <w:color w:val="000000"/>
          <w:sz w:val="24"/>
          <w:szCs w:val="24"/>
          <w:lang w:eastAsia="fr-FR"/>
        </w:rPr>
        <w:t xml:space="preserve"> and </w:t>
      </w:r>
      <w:proofErr w:type="spellStart"/>
      <w:r w:rsidRPr="00C17E3B">
        <w:rPr>
          <w:rFonts w:ascii="Times New Roman" w:eastAsia="Times New Roman" w:hAnsi="Times New Roman" w:cs="Times New Roman"/>
          <w:i/>
          <w:iCs/>
          <w:color w:val="000000"/>
          <w:sz w:val="24"/>
          <w:szCs w:val="24"/>
          <w:lang w:eastAsia="fr-FR"/>
        </w:rPr>
        <w:t>diclofenac</w:t>
      </w:r>
      <w:proofErr w:type="spellEnd"/>
      <w:r w:rsidRPr="00C17E3B">
        <w:rPr>
          <w:rFonts w:ascii="Times New Roman" w:eastAsia="Times New Roman" w:hAnsi="Times New Roman" w:cs="Times New Roman"/>
          <w:i/>
          <w:iCs/>
          <w:color w:val="000000"/>
          <w:sz w:val="24"/>
          <w:szCs w:val="24"/>
          <w:lang w:eastAsia="fr-FR"/>
        </w:rPr>
        <w:t xml:space="preserve"> </w:t>
      </w:r>
      <w:proofErr w:type="spellStart"/>
      <w:r w:rsidRPr="00C17E3B">
        <w:rPr>
          <w:rFonts w:ascii="Times New Roman" w:eastAsia="Times New Roman" w:hAnsi="Times New Roman" w:cs="Times New Roman"/>
          <w:i/>
          <w:iCs/>
          <w:color w:val="000000"/>
          <w:sz w:val="24"/>
          <w:szCs w:val="24"/>
          <w:lang w:eastAsia="fr-FR"/>
        </w:rPr>
        <w:t>arthritis</w:t>
      </w:r>
      <w:proofErr w:type="spellEnd"/>
      <w:r w:rsidRPr="00C17E3B">
        <w:rPr>
          <w:rFonts w:ascii="Times New Roman" w:eastAsia="Times New Roman" w:hAnsi="Times New Roman" w:cs="Times New Roman"/>
          <w:i/>
          <w:iCs/>
          <w:color w:val="000000"/>
          <w:sz w:val="24"/>
          <w:szCs w:val="24"/>
          <w:lang w:eastAsia="fr-FR"/>
        </w:rPr>
        <w:t xml:space="preserve"> long-</w:t>
      </w:r>
      <w:proofErr w:type="spellStart"/>
      <w:r w:rsidRPr="00C17E3B">
        <w:rPr>
          <w:rFonts w:ascii="Times New Roman" w:eastAsia="Times New Roman" w:hAnsi="Times New Roman" w:cs="Times New Roman"/>
          <w:i/>
          <w:iCs/>
          <w:color w:val="000000"/>
          <w:sz w:val="24"/>
          <w:szCs w:val="24"/>
          <w:lang w:eastAsia="fr-FR"/>
        </w:rPr>
        <w:t>term</w:t>
      </w:r>
      <w:proofErr w:type="spellEnd"/>
      <w:r w:rsidRPr="00C17E3B">
        <w:rPr>
          <w:rFonts w:ascii="Times New Roman" w:eastAsia="Times New Roman" w:hAnsi="Times New Roman" w:cs="Times New Roman"/>
          <w:i/>
          <w:iCs/>
          <w:color w:val="000000"/>
          <w:sz w:val="24"/>
          <w:szCs w:val="24"/>
          <w:lang w:eastAsia="fr-FR"/>
        </w:rPr>
        <w:t> : Programme international au long cours de l'</w:t>
      </w:r>
      <w:proofErr w:type="spellStart"/>
      <w:r w:rsidRPr="00C17E3B">
        <w:rPr>
          <w:rFonts w:ascii="Times New Roman" w:eastAsia="Times New Roman" w:hAnsi="Times New Roman" w:cs="Times New Roman"/>
          <w:i/>
          <w:iCs/>
          <w:color w:val="000000"/>
          <w:sz w:val="24"/>
          <w:szCs w:val="24"/>
          <w:lang w:eastAsia="fr-FR"/>
        </w:rPr>
        <w:t>étoricoxib</w:t>
      </w:r>
      <w:proofErr w:type="spellEnd"/>
      <w:r w:rsidRPr="00C17E3B">
        <w:rPr>
          <w:rFonts w:ascii="Times New Roman" w:eastAsia="Times New Roman" w:hAnsi="Times New Roman" w:cs="Times New Roman"/>
          <w:i/>
          <w:iCs/>
          <w:color w:val="000000"/>
          <w:sz w:val="24"/>
          <w:szCs w:val="24"/>
          <w:lang w:eastAsia="fr-FR"/>
        </w:rPr>
        <w:t xml:space="preserve"> et du </w:t>
      </w:r>
      <w:proofErr w:type="spellStart"/>
      <w:r w:rsidRPr="00C17E3B">
        <w:rPr>
          <w:rFonts w:ascii="Times New Roman" w:eastAsia="Times New Roman" w:hAnsi="Times New Roman" w:cs="Times New Roman"/>
          <w:i/>
          <w:iCs/>
          <w:color w:val="000000"/>
          <w:sz w:val="24"/>
          <w:szCs w:val="24"/>
          <w:lang w:eastAsia="fr-FR"/>
        </w:rPr>
        <w:t>diclofénac</w:t>
      </w:r>
      <w:proofErr w:type="spellEnd"/>
      <w:r w:rsidRPr="00C17E3B">
        <w:rPr>
          <w:rFonts w:ascii="Times New Roman" w:eastAsia="Times New Roman" w:hAnsi="Times New Roman" w:cs="Times New Roman"/>
          <w:i/>
          <w:iCs/>
          <w:color w:val="000000"/>
          <w:sz w:val="24"/>
          <w:szCs w:val="24"/>
          <w:lang w:eastAsia="fr-FR"/>
        </w:rPr>
        <w:t xml:space="preserve"> dans l'arthrite)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Le programme MEDAL représente l'évaluation prospective de la tolérance cardiovasculaire (CV) à partir des résultats </w:t>
      </w:r>
      <w:proofErr w:type="spellStart"/>
      <w:r w:rsidRPr="00C17E3B">
        <w:rPr>
          <w:rFonts w:ascii="Times New Roman" w:eastAsia="Times New Roman" w:hAnsi="Times New Roman" w:cs="Times New Roman"/>
          <w:color w:val="000000"/>
          <w:sz w:val="24"/>
          <w:szCs w:val="24"/>
          <w:lang w:eastAsia="fr-FR"/>
        </w:rPr>
        <w:t>poolés</w:t>
      </w:r>
      <w:proofErr w:type="spellEnd"/>
      <w:r w:rsidRPr="00C17E3B">
        <w:rPr>
          <w:rFonts w:ascii="Times New Roman" w:eastAsia="Times New Roman" w:hAnsi="Times New Roman" w:cs="Times New Roman"/>
          <w:color w:val="000000"/>
          <w:sz w:val="24"/>
          <w:szCs w:val="24"/>
          <w:lang w:eastAsia="fr-FR"/>
        </w:rPr>
        <w:t xml:space="preserve"> de trois études randomisées, en double-aveugle, contrôlées versus comparateur actif, que sont les études MEDAL, EDGE et EDGE II.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L'étude MEDAL était une étude ayant comme critère d'évaluation le suivi de la sécurité CV, menée chez 17 804 patients atteints d'arthrose et 5700 patients atteints de polyarthrite rhumatoïde (PR) traités par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(arthrose) ou 90 mg (arthrose et PR), ou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par jour sur une période moyenne de 20,3 mois (maximum 42,3 mois, médiane 21,3 mois). Dans cette étude, seuls les </w:t>
      </w:r>
      <w:r w:rsidRPr="00C17E3B">
        <w:rPr>
          <w:rFonts w:ascii="Times New Roman" w:eastAsia="Times New Roman" w:hAnsi="Times New Roman" w:cs="Times New Roman"/>
          <w:color w:val="000000"/>
          <w:sz w:val="24"/>
          <w:szCs w:val="24"/>
          <w:lang w:eastAsia="fr-FR"/>
        </w:rPr>
        <w:lastRenderedPageBreak/>
        <w:t xml:space="preserve">événements indésirables graves et les arrêts de traitement pour événements indésirables étaient rapportés.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Les études EDGE et EDGE II ont comparé la tolérance gastro-intestinale de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à celle du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L'étude EDGE a inclus 7111 patients atteints d'arthrose traités par une dose de 90 mg par jour d'</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(1,5 fois la dose recommandée dans l'arthrose) ou 150 mg par jour de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pendant une période moyenne de 9,1 mois (maximum 16,6 mois, médiane 11,4 mois). L'étude EDGE II a inclus 4086 patients atteints de PR traités par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90 mg par jour ou par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par jour pendant une période moyenne de 19,2 mois (maximum 33,1 mois, médiane 24 mois).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Dans le programme MEDAL, 34 701 patients atteints d'arthrose ou de PR ont été traités pendant une période moyenne de 17,9 mois (maximum 42,3 mois, médiane 16,3 mois), avec environ 12 800 patients traités pendant plus de 24 mois. Les patients inclus dans le programme présentaient à l'inclusion de nombreux facteurs de risque cardiovasculaires et gastro-intestinaux. Les patients avec un infarctus du myocarde récent, un pontage </w:t>
      </w:r>
      <w:proofErr w:type="spellStart"/>
      <w:r w:rsidRPr="00C17E3B">
        <w:rPr>
          <w:rFonts w:ascii="Times New Roman" w:eastAsia="Times New Roman" w:hAnsi="Times New Roman" w:cs="Times New Roman"/>
          <w:color w:val="000000"/>
          <w:sz w:val="24"/>
          <w:szCs w:val="24"/>
          <w:lang w:eastAsia="fr-FR"/>
        </w:rPr>
        <w:t>aortocoronarien</w:t>
      </w:r>
      <w:proofErr w:type="spellEnd"/>
      <w:r w:rsidRPr="00C17E3B">
        <w:rPr>
          <w:rFonts w:ascii="Times New Roman" w:eastAsia="Times New Roman" w:hAnsi="Times New Roman" w:cs="Times New Roman"/>
          <w:color w:val="000000"/>
          <w:sz w:val="24"/>
          <w:szCs w:val="24"/>
          <w:lang w:eastAsia="fr-FR"/>
        </w:rPr>
        <w:t xml:space="preserve"> ou une intervention coronaire percutanée au cours des 6 mois précédant l'inclusion étaient exclus. L'utilisation de médicaments </w:t>
      </w:r>
      <w:proofErr w:type="spellStart"/>
      <w:r w:rsidRPr="00C17E3B">
        <w:rPr>
          <w:rFonts w:ascii="Times New Roman" w:eastAsia="Times New Roman" w:hAnsi="Times New Roman" w:cs="Times New Roman"/>
          <w:color w:val="000000"/>
          <w:sz w:val="24"/>
          <w:szCs w:val="24"/>
          <w:lang w:eastAsia="fr-FR"/>
        </w:rPr>
        <w:t>gastroprotecteurs</w:t>
      </w:r>
      <w:proofErr w:type="spellEnd"/>
      <w:r w:rsidRPr="00C17E3B">
        <w:rPr>
          <w:rFonts w:ascii="Times New Roman" w:eastAsia="Times New Roman" w:hAnsi="Times New Roman" w:cs="Times New Roman"/>
          <w:color w:val="000000"/>
          <w:sz w:val="24"/>
          <w:szCs w:val="24"/>
          <w:lang w:eastAsia="fr-FR"/>
        </w:rPr>
        <w:t xml:space="preserve"> et d'aspirine à faible dose était autorisée pendant les études.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Sécurité d'emploi globale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Il n'y a pas eu de différence significative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en ce qui concerne le taux d'événements cardiovasculaires thrombotiques. Les événements indésirables </w:t>
      </w:r>
      <w:proofErr w:type="spellStart"/>
      <w:r w:rsidRPr="00C17E3B">
        <w:rPr>
          <w:rFonts w:ascii="Times New Roman" w:eastAsia="Times New Roman" w:hAnsi="Times New Roman" w:cs="Times New Roman"/>
          <w:color w:val="000000"/>
          <w:sz w:val="24"/>
          <w:szCs w:val="24"/>
          <w:lang w:eastAsia="fr-FR"/>
        </w:rPr>
        <w:t>cardiorénaux</w:t>
      </w:r>
      <w:proofErr w:type="spellEnd"/>
      <w:r w:rsidRPr="00C17E3B">
        <w:rPr>
          <w:rFonts w:ascii="Times New Roman" w:eastAsia="Times New Roman" w:hAnsi="Times New Roman" w:cs="Times New Roman"/>
          <w:color w:val="000000"/>
          <w:sz w:val="24"/>
          <w:szCs w:val="24"/>
          <w:lang w:eastAsia="fr-FR"/>
        </w:rPr>
        <w:t xml:space="preserve"> ont été observés plus fréquemment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et cet effet était dose-dépendant (voir les résultats spécifiques ci-après). Les événements indésirables gastro-intestinaux et hépatiques ont été observés avec une fréquence significativement plus élevée 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qu'avec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L'incidence des événements indésirables dans les études EDGE et EDGE II et des événements indésirables considérés comme graves ou ayant entraîné une sortie de l'étude MEDAL était plus élevée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Résultats de sécurité cardiovasculaire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Le taux d'événements indésirables graves cardiovasculaires thrombotiques objectivés (comprenant les événements indésirables cardiaques, vasculaires cérébraux et vasculaires périphériques) a été comparable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 les données sont résumées dans le tableau ci-après. Il n'y a eu aucune différence statistiquement significative concernant les taux d'événements thrombotiques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dans tous les sous-groupes analysés, y compris les différentes catégories de patients en fonction du risque cardiovasculaire initial. Le risque relatif d'événements indésirables graves cardiovasculaires thrombotiques objectivés a été similaire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ou 90 mg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pris séparément.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95"/>
        <w:gridCol w:w="2331"/>
        <w:gridCol w:w="2345"/>
        <w:gridCol w:w="2331"/>
      </w:tblGrid>
      <w:tr w:rsidR="00C17E3B" w:rsidRPr="00C17E3B" w:rsidTr="00C17E3B">
        <w:trPr>
          <w:trHeight w:val="276"/>
          <w:tblCellSpacing w:w="7" w:type="dxa"/>
        </w:trPr>
        <w:tc>
          <w:tcPr>
            <w:tcW w:w="0" w:type="auto"/>
            <w:gridSpan w:val="4"/>
            <w:vMerge w:val="restart"/>
            <w:tcBorders>
              <w:top w:val="nil"/>
              <w:left w:val="nil"/>
              <w:bottom w:val="nil"/>
              <w:right w:val="nil"/>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Tableau 1 : Taux des événements CV thrombotiques objectivés (programme MEDAL) </w:t>
            </w:r>
          </w:p>
        </w:tc>
      </w:tr>
      <w:tr w:rsidR="00C17E3B" w:rsidRPr="00C17E3B" w:rsidTr="00C17E3B">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(N = 16 819)</w:t>
            </w:r>
            <w:r w:rsidRPr="00C17E3B">
              <w:rPr>
                <w:rFonts w:ascii="Times New Roman" w:eastAsia="Times New Roman" w:hAnsi="Times New Roman" w:cs="Times New Roman"/>
                <w:color w:val="000000"/>
                <w:sz w:val="24"/>
                <w:szCs w:val="24"/>
                <w:lang w:eastAsia="fr-FR"/>
              </w:rPr>
              <w:br/>
              <w:t xml:space="preserve">25 836 patients-années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(N = 16 483)</w:t>
            </w:r>
            <w:r w:rsidRPr="00C17E3B">
              <w:rPr>
                <w:rFonts w:ascii="Times New Roman" w:eastAsia="Times New Roman" w:hAnsi="Times New Roman" w:cs="Times New Roman"/>
                <w:color w:val="000000"/>
                <w:sz w:val="24"/>
                <w:szCs w:val="24"/>
                <w:lang w:eastAsia="fr-FR"/>
              </w:rPr>
              <w:br/>
              <w:t xml:space="preserve">24 766 patients-années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Comparaison entre traitements </w:t>
            </w:r>
          </w:p>
        </w:tc>
      </w:tr>
      <w:tr w:rsidR="00C17E3B" w:rsidRPr="00C17E3B" w:rsidTr="00C17E3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Taux</w:t>
            </w:r>
            <w:r w:rsidRPr="00C17E3B">
              <w:rPr>
                <w:rFonts w:ascii="Times New Roman" w:eastAsia="Times New Roman" w:hAnsi="Times New Roman" w:cs="Times New Roman"/>
                <w:color w:val="000000"/>
                <w:sz w:val="24"/>
                <w:szCs w:val="24"/>
                <w:vertAlign w:val="superscript"/>
                <w:lang w:eastAsia="fr-FR"/>
              </w:rPr>
              <w:t>*</w:t>
            </w:r>
            <w:r w:rsidRPr="00C17E3B">
              <w:rPr>
                <w:rFonts w:ascii="Times New Roman" w:eastAsia="Times New Roman" w:hAnsi="Times New Roman" w:cs="Times New Roman"/>
                <w:color w:val="000000"/>
                <w:sz w:val="24"/>
                <w:szCs w:val="24"/>
                <w:lang w:eastAsia="fr-FR"/>
              </w:rPr>
              <w:t xml:space="preserve"> (IC à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Taux</w:t>
            </w:r>
            <w:r w:rsidRPr="00C17E3B">
              <w:rPr>
                <w:rFonts w:ascii="Times New Roman" w:eastAsia="Times New Roman" w:hAnsi="Times New Roman" w:cs="Times New Roman"/>
                <w:color w:val="000000"/>
                <w:sz w:val="24"/>
                <w:szCs w:val="24"/>
                <w:vertAlign w:val="superscript"/>
                <w:lang w:eastAsia="fr-FR"/>
              </w:rPr>
              <w:t>*</w:t>
            </w:r>
            <w:r w:rsidRPr="00C17E3B">
              <w:rPr>
                <w:rFonts w:ascii="Times New Roman" w:eastAsia="Times New Roman" w:hAnsi="Times New Roman" w:cs="Times New Roman"/>
                <w:color w:val="000000"/>
                <w:sz w:val="24"/>
                <w:szCs w:val="24"/>
                <w:lang w:eastAsia="fr-FR"/>
              </w:rPr>
              <w:t xml:space="preserve"> (IC à 95 %)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Risque relatif (IC à 95 %) </w:t>
            </w:r>
          </w:p>
        </w:tc>
      </w:tr>
      <w:tr w:rsidR="00C17E3B" w:rsidRPr="00C17E3B" w:rsidTr="00C17E3B">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Événements indésirables graves cardiovasculaires thrombotiques objectivés :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Per protocole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1,24 (1,11 ; 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1,30 (1,17 ; 1,45)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0,95 (0,81 ; 1,11)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En intention </w:t>
            </w:r>
            <w:r w:rsidRPr="00C17E3B">
              <w:rPr>
                <w:rFonts w:ascii="Times New Roman" w:eastAsia="Times New Roman" w:hAnsi="Times New Roman" w:cs="Times New Roman"/>
                <w:color w:val="000000"/>
                <w:sz w:val="24"/>
                <w:szCs w:val="24"/>
                <w:lang w:eastAsia="fr-FR"/>
              </w:rPr>
              <w:lastRenderedPageBreak/>
              <w:t xml:space="preserve">de traiter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lastRenderedPageBreak/>
              <w:t xml:space="preserve">1,25 (1,14 ; 1,36)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1,19 (1,08 ; 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1,05 (0,93 ; 1,19) </w:t>
            </w:r>
          </w:p>
        </w:tc>
      </w:tr>
      <w:tr w:rsidR="00C17E3B" w:rsidRPr="00C17E3B" w:rsidTr="00C17E3B">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lastRenderedPageBreak/>
              <w:t xml:space="preserve">Événements cardiaques objectivés :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Per protocole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0,71 (0,61 ; 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0,78 (0,68 ; 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0,90 (0,74 ; 1,10)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En intention de traiter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0,69 (0,61 ; 0,78)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0,70 (0,62 ; 0,79)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0,99 (0,84 ; 1,17) </w:t>
            </w:r>
          </w:p>
        </w:tc>
      </w:tr>
      <w:tr w:rsidR="00C17E3B" w:rsidRPr="00C17E3B" w:rsidTr="00C17E3B">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Événements vasculaires cérébraux objectivés :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Per protocole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0,34 (0,28 ; 0,42)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0,32 (0,25 ; 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1,08 (0,80 ; 1,46)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En intention de traiter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0,33 (0,28 ; 0,39)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0,29 (0,24 ; 0,35)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1,12 (0,87 ; 1,44) </w:t>
            </w:r>
          </w:p>
        </w:tc>
      </w:tr>
      <w:tr w:rsidR="00C17E3B" w:rsidRPr="00C17E3B" w:rsidTr="00C17E3B">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Événements vasculaires périphériques objectivés :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Per protocole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0,20 (0,15 ; 0,27)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0,22 (0,17 ; 0,29)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0,92 (0,63 ; 1,35) </w:t>
            </w:r>
          </w:p>
        </w:tc>
      </w:tr>
      <w:tr w:rsidR="00C17E3B" w:rsidRPr="00C17E3B" w:rsidTr="00C17E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En intention de traiter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0,24 (0,20 ; 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0,23 (0,18 ; 0,28)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jc w:val="center"/>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1,08 (0,81 ; 1,44) </w:t>
            </w:r>
          </w:p>
        </w:tc>
      </w:tr>
      <w:tr w:rsidR="00C17E3B" w:rsidRPr="00C17E3B" w:rsidTr="00C17E3B">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br/>
            </w:r>
            <w:r w:rsidRPr="00C17E3B">
              <w:rPr>
                <w:rFonts w:ascii="Times New Roman" w:eastAsia="Times New Roman" w:hAnsi="Times New Roman" w:cs="Times New Roman"/>
                <w:color w:val="000000"/>
                <w:sz w:val="24"/>
                <w:szCs w:val="24"/>
                <w:vertAlign w:val="superscript"/>
                <w:lang w:eastAsia="fr-FR"/>
              </w:rPr>
              <w:t>*</w:t>
            </w:r>
            <w:r w:rsidRPr="00C17E3B">
              <w:rPr>
                <w:rFonts w:ascii="Times New Roman" w:eastAsia="Times New Roman" w:hAnsi="Times New Roman" w:cs="Times New Roman"/>
                <w:color w:val="000000"/>
                <w:sz w:val="24"/>
                <w:szCs w:val="24"/>
                <w:lang w:eastAsia="fr-FR"/>
              </w:rPr>
              <w:t xml:space="preserve">  </w:t>
            </w:r>
            <w:r w:rsidRPr="00C17E3B">
              <w:rPr>
                <w:rFonts w:ascii="Times New Roman" w:eastAsia="Times New Roman" w:hAnsi="Times New Roman" w:cs="Times New Roman"/>
                <w:color w:val="000000"/>
                <w:sz w:val="20"/>
                <w:szCs w:val="20"/>
                <w:lang w:eastAsia="fr-FR"/>
              </w:rPr>
              <w:t>Événements pour 100 patients-années.</w:t>
            </w:r>
            <w:r w:rsidRPr="00C17E3B">
              <w:rPr>
                <w:rFonts w:ascii="Times New Roman" w:eastAsia="Times New Roman" w:hAnsi="Times New Roman" w:cs="Times New Roman"/>
                <w:color w:val="000000"/>
                <w:sz w:val="20"/>
                <w:szCs w:val="20"/>
                <w:lang w:eastAsia="fr-FR"/>
              </w:rPr>
              <w:br/>
            </w:r>
            <w:r w:rsidRPr="00C17E3B">
              <w:rPr>
                <w:rFonts w:ascii="Times New Roman" w:eastAsia="Times New Roman" w:hAnsi="Times New Roman" w:cs="Times New Roman"/>
                <w:color w:val="000000"/>
                <w:sz w:val="24"/>
                <w:szCs w:val="24"/>
                <w:lang w:eastAsia="fr-FR"/>
              </w:rPr>
              <w:t>IC = intervalle de confiance.</w:t>
            </w:r>
            <w:r w:rsidRPr="00C17E3B">
              <w:rPr>
                <w:rFonts w:ascii="Times New Roman" w:eastAsia="Times New Roman" w:hAnsi="Times New Roman" w:cs="Times New Roman"/>
                <w:color w:val="000000"/>
                <w:sz w:val="24"/>
                <w:szCs w:val="24"/>
                <w:lang w:eastAsia="fr-FR"/>
              </w:rPr>
              <w:br/>
              <w:t>N = nombre total de patients inclus dans l'analyse per protocole.</w:t>
            </w:r>
            <w:r w:rsidRPr="00C17E3B">
              <w:rPr>
                <w:rFonts w:ascii="Times New Roman" w:eastAsia="Times New Roman" w:hAnsi="Times New Roman" w:cs="Times New Roman"/>
                <w:color w:val="000000"/>
                <w:sz w:val="24"/>
                <w:szCs w:val="24"/>
                <w:lang w:eastAsia="fr-FR"/>
              </w:rPr>
              <w:br/>
              <w:t>Per protocole : tout événement survenu pendant le traitement ou dans les 14 jours suivant l'arrêt de celui-ci (ont été exclus les patients qui ont pris moins de 75 % du traitement à l'étude ou qui ont pris des AINS non prévus dans le protocole pendant plus de 10 % du temps).</w:t>
            </w:r>
            <w:r w:rsidRPr="00C17E3B">
              <w:rPr>
                <w:rFonts w:ascii="Times New Roman" w:eastAsia="Times New Roman" w:hAnsi="Times New Roman" w:cs="Times New Roman"/>
                <w:color w:val="000000"/>
                <w:sz w:val="24"/>
                <w:szCs w:val="24"/>
                <w:lang w:eastAsia="fr-FR"/>
              </w:rPr>
              <w:br/>
              <w:t xml:space="preserve">En intention de traiter : tous les événements objectivés jusqu'à la fin de l'étude (y compris les patients potentiellement exposés à des interventions non prévues dans l'étude suite à un arrêt du traitement). Nombre total de patients randomisés, n = 17 412 dans le groupe </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17 289 dans le groupe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w:t>
            </w:r>
          </w:p>
        </w:tc>
      </w:tr>
    </w:tbl>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La mortalité CV, ainsi que la mortalité globale, ont été similaires entre les groupes de traitement par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par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Événements </w:t>
      </w:r>
      <w:proofErr w:type="spellStart"/>
      <w:r w:rsidRPr="00C17E3B">
        <w:rPr>
          <w:rFonts w:ascii="Times New Roman" w:eastAsia="Times New Roman" w:hAnsi="Times New Roman" w:cs="Times New Roman"/>
          <w:i/>
          <w:iCs/>
          <w:color w:val="000000"/>
          <w:sz w:val="24"/>
          <w:szCs w:val="24"/>
          <w:lang w:eastAsia="fr-FR"/>
        </w:rPr>
        <w:t>cardiorénaux</w:t>
      </w:r>
      <w:proofErr w:type="spellEnd"/>
      <w:r w:rsidRPr="00C17E3B">
        <w:rPr>
          <w:rFonts w:ascii="Times New Roman" w:eastAsia="Times New Roman" w:hAnsi="Times New Roman" w:cs="Times New Roman"/>
          <w:i/>
          <w:iCs/>
          <w:color w:val="000000"/>
          <w:sz w:val="24"/>
          <w:szCs w:val="24"/>
          <w:lang w:eastAsia="fr-FR"/>
        </w:rPr>
        <w:t xml:space="preserve">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Environ 50 % des patients inclus dans l'étude MEDAL avaient un antécédent d'hypertension artérielle à l'inclusion. Au cours de l'étude, l'incidence des arrêts de traitement en raison d'événements indésirables dus à une hypertension artérielle a été statistiquement significativement plus élevée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L'incidence des événements indésirables dus à une insuffisance cardiaque congestive (arrêts de traitement et événements graves) a été similaire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comparée au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mais a été supérieure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90 mg comparée au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(statistiquement significative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90 mg par rapport au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dans le groupe de patients atteints d'arthrose de MEDAL). L'incidence des événements indésirables dus à une insuffisance cardiaque congestive objectivée (événements graves et ayant entraîné une hospitalisation ou une consultation dans un service d'urgence) n'a pas été significativement plus élevée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et cet effet était dose-dépendant. L'incidence des arrêts de traitement en raison d'événements indésirables dus à un </w:t>
      </w:r>
      <w:proofErr w:type="spellStart"/>
      <w:r w:rsidRPr="00C17E3B">
        <w:rPr>
          <w:rFonts w:ascii="Times New Roman" w:eastAsia="Times New Roman" w:hAnsi="Times New Roman" w:cs="Times New Roman"/>
          <w:color w:val="000000"/>
          <w:sz w:val="24"/>
          <w:szCs w:val="24"/>
          <w:lang w:eastAsia="fr-FR"/>
        </w:rPr>
        <w:t>oedème</w:t>
      </w:r>
      <w:proofErr w:type="spellEnd"/>
      <w:r w:rsidRPr="00C17E3B">
        <w:rPr>
          <w:rFonts w:ascii="Times New Roman" w:eastAsia="Times New Roman" w:hAnsi="Times New Roman" w:cs="Times New Roman"/>
          <w:color w:val="000000"/>
          <w:sz w:val="24"/>
          <w:szCs w:val="24"/>
          <w:lang w:eastAsia="fr-FR"/>
        </w:rPr>
        <w:t xml:space="preserve"> a été plus élevée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150 mg et cet effet était dose-dépendant (statistiquement significatif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90 mg mais pas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lastRenderedPageBreak/>
        <w:t xml:space="preserve">Les résultats </w:t>
      </w:r>
      <w:proofErr w:type="spellStart"/>
      <w:r w:rsidRPr="00C17E3B">
        <w:rPr>
          <w:rFonts w:ascii="Times New Roman" w:eastAsia="Times New Roman" w:hAnsi="Times New Roman" w:cs="Times New Roman"/>
          <w:color w:val="000000"/>
          <w:sz w:val="24"/>
          <w:szCs w:val="24"/>
          <w:lang w:eastAsia="fr-FR"/>
        </w:rPr>
        <w:t>cardiorénaux</w:t>
      </w:r>
      <w:proofErr w:type="spellEnd"/>
      <w:r w:rsidRPr="00C17E3B">
        <w:rPr>
          <w:rFonts w:ascii="Times New Roman" w:eastAsia="Times New Roman" w:hAnsi="Times New Roman" w:cs="Times New Roman"/>
          <w:color w:val="000000"/>
          <w:sz w:val="24"/>
          <w:szCs w:val="24"/>
          <w:lang w:eastAsia="fr-FR"/>
        </w:rPr>
        <w:t xml:space="preserve"> des études EDGE et EDGE II ont été cohérents avec ceux décrits dans l'étude MEDAL.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Dans les études individuelles du programme MEDAL, concernant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ou 90 mg), l'incidence absolue d'arrêts de traitement dans chaque groupe de traitement était au plus de 2,6 % pour l'hypertension artérielle, 1,9 % pour l'</w:t>
      </w:r>
      <w:proofErr w:type="spellStart"/>
      <w:r w:rsidRPr="00C17E3B">
        <w:rPr>
          <w:rFonts w:ascii="Times New Roman" w:eastAsia="Times New Roman" w:hAnsi="Times New Roman" w:cs="Times New Roman"/>
          <w:color w:val="000000"/>
          <w:sz w:val="24"/>
          <w:szCs w:val="24"/>
          <w:lang w:eastAsia="fr-FR"/>
        </w:rPr>
        <w:t>oedème</w:t>
      </w:r>
      <w:proofErr w:type="spellEnd"/>
      <w:r w:rsidRPr="00C17E3B">
        <w:rPr>
          <w:rFonts w:ascii="Times New Roman" w:eastAsia="Times New Roman" w:hAnsi="Times New Roman" w:cs="Times New Roman"/>
          <w:color w:val="000000"/>
          <w:sz w:val="24"/>
          <w:szCs w:val="24"/>
          <w:lang w:eastAsia="fr-FR"/>
        </w:rPr>
        <w:t xml:space="preserve"> et 1,1 % pour l'insuffisance cardiaque congestive, avec des taux d'arrêts de traitement plus élevés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90 mg qu'avec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60 mg.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Résultats de tolérance gastro-intestinale du programme MEDAL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Un taux significativement plus faible d'arrêts de traitement pour événement indésirable gastro-intestinal (par exemple, dyspepsie, douleurs abdominales, ulcère) a été observé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comparé au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dans chacune des trois études composant le programme MEDAL. Les taux d'arrêts de traitement en raison d'événements indésirables gastro-intestinaux pour 100 patients-années sur la période totale de l'étude ont été les suivants : 3,23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4,96 pour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dans l'étude MEDAL ; 9,12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12,28 pour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dans l'étude EDGE ; et 3,71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4,81 pour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dans l'étude EDGE II.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Résultats de sécurité gastro-intestinale du programme MEDAL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L'ensemble des événements digestifs hauts ont été définis comme les perforations, les ulcères et les saignements. Le sous-groupe de l'ensemble des événements digestifs hauts considérés comme compliqués ont inclus les perforations, les obstructions et les saignements compliqués ; le sous-groupe des événements digestifs hauts considérés comme non compliqués ont inclus les saignements non compliqués et les ulcères non compliqués. Un taux significativement moins élevé d'événements digestifs hauts globaux a été observé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comparé au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Il n'y a pas eu de différence significative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concernant le taux d'événements compliqués. Pour le sous-groupe des événements digestifs hauts hémorragiques (association des événements compliqués et non compliqués), il n'y a pas eu de différence significative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Chez les patients prenant de façon concomitante de l'aspirine à faible dose (approximativement 33 % des patients), le bénéfice de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sur les événements digestifs hauts comparé au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n'était pas statistiquement significatif.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Les taux pour 100 patients-années d'événements indésirables digestifs hauts objectivés compliqués et non compliqués (perforations, ulcères et saignement : PUS) ont été de 0,67 (IC à 95 % 0,57 ; 0,77)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0,97 (IC à 95 % 0,85 ; 1,10) avec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soit un risque relatif de 0,69 (IC à 95 % 0,57 ; 0,83).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Les taux d'événements digestifs hauts objectivés chez les patients âgés ont été évalués et la réduction la plus importante a été observée chez les patients de 75 ans et plus (respectivement 1,35 [IC à 95 % 0,94 ; 1,87] versus 2,78 [IC à 95 % 2,14 ; 3,56] événements pour 100 patients-années avec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Les taux des événements indésirables digestifs bas objectivés (perforations de l'intestin grêle ou du côlon, obstructions ou hémorragies : POS) n'ont pas été significativement différents entre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Résultats de sécurité hépatique du programme MEDAL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En ce qui concerne les arrêts de traitement en raison d'événements indésirables hépatiques,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a été associé à un taux statistiquement significativement plus faible que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Dans le programme MEDAL, 0,3 % des patients sous </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2,7 % des patients sous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ont arrêté le traitement en raison d'événements indésirables hépatiques. Le taux pour 100 patients-années a été de 0,22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et de 1,84 pour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(valeur de p &lt; 0,001 pour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w:t>
      </w:r>
      <w:r w:rsidRPr="00C17E3B">
        <w:rPr>
          <w:rFonts w:ascii="Times New Roman" w:eastAsia="Times New Roman" w:hAnsi="Times New Roman" w:cs="Times New Roman"/>
          <w:color w:val="000000"/>
          <w:sz w:val="24"/>
          <w:szCs w:val="24"/>
          <w:lang w:eastAsia="fr-FR"/>
        </w:rPr>
        <w:lastRenderedPageBreak/>
        <w:t xml:space="preserve">versus le </w:t>
      </w:r>
      <w:proofErr w:type="spellStart"/>
      <w:r w:rsidRPr="00C17E3B">
        <w:rPr>
          <w:rFonts w:ascii="Times New Roman" w:eastAsia="Times New Roman" w:hAnsi="Times New Roman" w:cs="Times New Roman"/>
          <w:color w:val="000000"/>
          <w:sz w:val="24"/>
          <w:szCs w:val="24"/>
          <w:lang w:eastAsia="fr-FR"/>
        </w:rPr>
        <w:t>diclofénac</w:t>
      </w:r>
      <w:proofErr w:type="spellEnd"/>
      <w:r w:rsidRPr="00C17E3B">
        <w:rPr>
          <w:rFonts w:ascii="Times New Roman" w:eastAsia="Times New Roman" w:hAnsi="Times New Roman" w:cs="Times New Roman"/>
          <w:color w:val="000000"/>
          <w:sz w:val="24"/>
          <w:szCs w:val="24"/>
          <w:lang w:eastAsia="fr-FR"/>
        </w:rPr>
        <w:t xml:space="preserve">). Cependant, la plupart des événements indésirables hépatiques dans le programme MEDAL n'étaient pas graves.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Données supplémentaires de tolérance cardiovasculaire thrombotique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Dans les études cliniques, à l'exception des études du programme MEDAL, environ 3100 patients ont été traités par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à une posologie &gt;= 60 mg par jour, pendant 12 semaines ou plus. Aucune différence notable n'a été observée dans l'incidence des événements cardiovasculaires thrombotiques graves objectivés entre les patients recevant de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à une posologie &gt;= 60 mg, un placebo, ou des AINS autres que le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Cependant, l'incidence de ces événements a été plus élevée chez les patients recevant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que chez ceux recevant le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xml:space="preserve"> 500 mg deux fois par jour. La différence d'activité antiplaquettaire entre certains AINS inhibiteurs de la COX-1 et les inhibiteurs sélectifs de la COX-2 peut avoir une conséquence clinique chez des patients ayant un risque de réactions thromboemboliques. Les inhibiteurs de la COX-2 réduisent la formation de </w:t>
      </w:r>
      <w:proofErr w:type="spellStart"/>
      <w:r w:rsidRPr="00C17E3B">
        <w:rPr>
          <w:rFonts w:ascii="Times New Roman" w:eastAsia="Times New Roman" w:hAnsi="Times New Roman" w:cs="Times New Roman"/>
          <w:color w:val="000000"/>
          <w:sz w:val="24"/>
          <w:szCs w:val="24"/>
          <w:lang w:eastAsia="fr-FR"/>
        </w:rPr>
        <w:t>prostacycline</w:t>
      </w:r>
      <w:proofErr w:type="spellEnd"/>
      <w:r w:rsidRPr="00C17E3B">
        <w:rPr>
          <w:rFonts w:ascii="Times New Roman" w:eastAsia="Times New Roman" w:hAnsi="Times New Roman" w:cs="Times New Roman"/>
          <w:color w:val="000000"/>
          <w:sz w:val="24"/>
          <w:szCs w:val="24"/>
          <w:lang w:eastAsia="fr-FR"/>
        </w:rPr>
        <w:t xml:space="preserve"> systémique (et par conséquent possiblement endothéliale) sans altérer le </w:t>
      </w:r>
      <w:proofErr w:type="spellStart"/>
      <w:r w:rsidRPr="00C17E3B">
        <w:rPr>
          <w:rFonts w:ascii="Times New Roman" w:eastAsia="Times New Roman" w:hAnsi="Times New Roman" w:cs="Times New Roman"/>
          <w:color w:val="000000"/>
          <w:sz w:val="24"/>
          <w:szCs w:val="24"/>
          <w:lang w:eastAsia="fr-FR"/>
        </w:rPr>
        <w:t>thromboxane</w:t>
      </w:r>
      <w:proofErr w:type="spellEnd"/>
      <w:r w:rsidRPr="00C17E3B">
        <w:rPr>
          <w:rFonts w:ascii="Times New Roman" w:eastAsia="Times New Roman" w:hAnsi="Times New Roman" w:cs="Times New Roman"/>
          <w:color w:val="000000"/>
          <w:sz w:val="24"/>
          <w:szCs w:val="24"/>
          <w:lang w:eastAsia="fr-FR"/>
        </w:rPr>
        <w:t xml:space="preserve"> plaquettaire. La pertinence clinique de ces observations n'a pas été établie.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Données supplémentaires de sécurité gastro-intestinale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 xml:space="preserve">Au cours de deux études endoscopiques en double aveugle d'une durée de 12 semaines, l'incidence cumulée des ulcères </w:t>
      </w:r>
      <w:proofErr w:type="spellStart"/>
      <w:r w:rsidRPr="00C17E3B">
        <w:rPr>
          <w:rFonts w:ascii="Times New Roman" w:eastAsia="Times New Roman" w:hAnsi="Times New Roman" w:cs="Times New Roman"/>
          <w:color w:val="000000"/>
          <w:sz w:val="24"/>
          <w:szCs w:val="24"/>
          <w:lang w:eastAsia="fr-FR"/>
        </w:rPr>
        <w:t>gastro-duodénaux</w:t>
      </w:r>
      <w:proofErr w:type="spellEnd"/>
      <w:r w:rsidRPr="00C17E3B">
        <w:rPr>
          <w:rFonts w:ascii="Times New Roman" w:eastAsia="Times New Roman" w:hAnsi="Times New Roman" w:cs="Times New Roman"/>
          <w:color w:val="000000"/>
          <w:sz w:val="24"/>
          <w:szCs w:val="24"/>
          <w:lang w:eastAsia="fr-FR"/>
        </w:rPr>
        <w:t xml:space="preserve"> a été significativement plus faible chez les patients traités par </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120 mg une fois par jour, que chez les patients traités soit par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xml:space="preserve"> 500 mg deux fois par jour, soit par ibuprofène 800 mg trois fois par jour. L'incidence des ulcères a été plus élevée sous </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que sous placebo.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i/>
          <w:iCs/>
          <w:color w:val="000000"/>
          <w:sz w:val="24"/>
          <w:szCs w:val="24"/>
          <w:lang w:eastAsia="fr-FR"/>
        </w:rPr>
        <w:t xml:space="preserve">Étude de la fonction rénale chez le sujet âgé : </w:t>
      </w:r>
    </w:p>
    <w:p w:rsidR="00C17E3B" w:rsidRPr="00C17E3B" w:rsidRDefault="00C17E3B" w:rsidP="00C17E3B">
      <w:pPr>
        <w:spacing w:after="0" w:line="240" w:lineRule="auto"/>
        <w:ind w:left="720"/>
        <w:rPr>
          <w:rFonts w:ascii="Times New Roman" w:eastAsia="Times New Roman" w:hAnsi="Times New Roman" w:cs="Times New Roman"/>
          <w:color w:val="000000"/>
          <w:sz w:val="24"/>
          <w:szCs w:val="24"/>
          <w:lang w:eastAsia="fr-FR"/>
        </w:rPr>
      </w:pPr>
      <w:r w:rsidRPr="00C17E3B">
        <w:rPr>
          <w:rFonts w:ascii="Times New Roman" w:eastAsia="Times New Roman" w:hAnsi="Times New Roman" w:cs="Times New Roman"/>
          <w:color w:val="000000"/>
          <w:sz w:val="24"/>
          <w:szCs w:val="24"/>
          <w:lang w:eastAsia="fr-FR"/>
        </w:rPr>
        <w:t>Une étude randomisée, en double-aveugle, contre placebo, en groupes parallèles, a évalué les effets d'un traitement de 15 jours d'</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(90 mg), de </w:t>
      </w:r>
      <w:proofErr w:type="spellStart"/>
      <w:r w:rsidRPr="00C17E3B">
        <w:rPr>
          <w:rFonts w:ascii="Times New Roman" w:eastAsia="Times New Roman" w:hAnsi="Times New Roman" w:cs="Times New Roman"/>
          <w:color w:val="000000"/>
          <w:sz w:val="24"/>
          <w:szCs w:val="24"/>
          <w:lang w:eastAsia="fr-FR"/>
        </w:rPr>
        <w:t>célécoxib</w:t>
      </w:r>
      <w:proofErr w:type="spellEnd"/>
      <w:r w:rsidRPr="00C17E3B">
        <w:rPr>
          <w:rFonts w:ascii="Times New Roman" w:eastAsia="Times New Roman" w:hAnsi="Times New Roman" w:cs="Times New Roman"/>
          <w:color w:val="000000"/>
          <w:sz w:val="24"/>
          <w:szCs w:val="24"/>
          <w:lang w:eastAsia="fr-FR"/>
        </w:rPr>
        <w:t xml:space="preserve"> (200 mg 2 fois par jour), de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xml:space="preserve"> (500 mg 2 fois par jour) et d'un placebo sur l'excrétion urinaire du sodium, la pression artérielle, ainsi que sur d'autres paramètres de la fonction rénale. Cette étude a été faite chez des sujets de 60 à 85 ans, placés sous un régime apportant 200 </w:t>
      </w:r>
      <w:proofErr w:type="spellStart"/>
      <w:r w:rsidRPr="00C17E3B">
        <w:rPr>
          <w:rFonts w:ascii="Times New Roman" w:eastAsia="Times New Roman" w:hAnsi="Times New Roman" w:cs="Times New Roman"/>
          <w:color w:val="000000"/>
          <w:sz w:val="24"/>
          <w:szCs w:val="24"/>
          <w:lang w:eastAsia="fr-FR"/>
        </w:rPr>
        <w:t>mEq</w:t>
      </w:r>
      <w:proofErr w:type="spellEnd"/>
      <w:r w:rsidRPr="00C17E3B">
        <w:rPr>
          <w:rFonts w:ascii="Times New Roman" w:eastAsia="Times New Roman" w:hAnsi="Times New Roman" w:cs="Times New Roman"/>
          <w:color w:val="000000"/>
          <w:sz w:val="24"/>
          <w:szCs w:val="24"/>
          <w:lang w:eastAsia="fr-FR"/>
        </w:rPr>
        <w:t xml:space="preserve"> par jour de sodium.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le </w:t>
      </w:r>
      <w:proofErr w:type="spellStart"/>
      <w:r w:rsidRPr="00C17E3B">
        <w:rPr>
          <w:rFonts w:ascii="Times New Roman" w:eastAsia="Times New Roman" w:hAnsi="Times New Roman" w:cs="Times New Roman"/>
          <w:color w:val="000000"/>
          <w:sz w:val="24"/>
          <w:szCs w:val="24"/>
          <w:lang w:eastAsia="fr-FR"/>
        </w:rPr>
        <w:t>célécoxib</w:t>
      </w:r>
      <w:proofErr w:type="spellEnd"/>
      <w:r w:rsidRPr="00C17E3B">
        <w:rPr>
          <w:rFonts w:ascii="Times New Roman" w:eastAsia="Times New Roman" w:hAnsi="Times New Roman" w:cs="Times New Roman"/>
          <w:color w:val="000000"/>
          <w:sz w:val="24"/>
          <w:szCs w:val="24"/>
          <w:lang w:eastAsia="fr-FR"/>
        </w:rPr>
        <w:t xml:space="preserve">, et le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xml:space="preserve"> ont eu des effets similaires sur l'excrétion urinaire du sodium pendant les 2 semaines de traitement. Une augmentation de la pression artérielle systolique a été observée avec tous les comparateurs actifs par rapport au placebo ; cependant l'</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a été associé à une augmentation statistiquement significative le 14</w:t>
      </w:r>
      <w:r w:rsidRPr="00C17E3B">
        <w:rPr>
          <w:rFonts w:ascii="Verdana" w:eastAsia="Times New Roman" w:hAnsi="Verdana" w:cs="Times New Roman"/>
          <w:color w:val="000000"/>
          <w:sz w:val="20"/>
          <w:szCs w:val="20"/>
          <w:vertAlign w:val="superscript"/>
          <w:lang w:eastAsia="fr-FR"/>
        </w:rPr>
        <w:t>e</w:t>
      </w:r>
      <w:r w:rsidRPr="00C17E3B">
        <w:rPr>
          <w:rFonts w:ascii="Times New Roman" w:eastAsia="Times New Roman" w:hAnsi="Times New Roman" w:cs="Times New Roman"/>
          <w:color w:val="000000"/>
          <w:sz w:val="24"/>
          <w:szCs w:val="24"/>
          <w:lang w:eastAsia="fr-FR"/>
        </w:rPr>
        <w:t xml:space="preserve"> jour par rapport au </w:t>
      </w:r>
      <w:proofErr w:type="spellStart"/>
      <w:r w:rsidRPr="00C17E3B">
        <w:rPr>
          <w:rFonts w:ascii="Times New Roman" w:eastAsia="Times New Roman" w:hAnsi="Times New Roman" w:cs="Times New Roman"/>
          <w:color w:val="000000"/>
          <w:sz w:val="24"/>
          <w:szCs w:val="24"/>
          <w:lang w:eastAsia="fr-FR"/>
        </w:rPr>
        <w:t>célécoxib</w:t>
      </w:r>
      <w:proofErr w:type="spellEnd"/>
      <w:r w:rsidRPr="00C17E3B">
        <w:rPr>
          <w:rFonts w:ascii="Times New Roman" w:eastAsia="Times New Roman" w:hAnsi="Times New Roman" w:cs="Times New Roman"/>
          <w:color w:val="000000"/>
          <w:sz w:val="24"/>
          <w:szCs w:val="24"/>
          <w:lang w:eastAsia="fr-FR"/>
        </w:rPr>
        <w:t xml:space="preserve"> et au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xml:space="preserve"> (variation moyenne de la pression artérielle systolique par rapport à la valeur initiale : </w:t>
      </w:r>
      <w:proofErr w:type="spellStart"/>
      <w:r w:rsidRPr="00C17E3B">
        <w:rPr>
          <w:rFonts w:ascii="Times New Roman" w:eastAsia="Times New Roman" w:hAnsi="Times New Roman" w:cs="Times New Roman"/>
          <w:color w:val="000000"/>
          <w:sz w:val="24"/>
          <w:szCs w:val="24"/>
          <w:lang w:eastAsia="fr-FR"/>
        </w:rPr>
        <w:t>étoricoxib</w:t>
      </w:r>
      <w:proofErr w:type="spellEnd"/>
      <w:r w:rsidRPr="00C17E3B">
        <w:rPr>
          <w:rFonts w:ascii="Times New Roman" w:eastAsia="Times New Roman" w:hAnsi="Times New Roman" w:cs="Times New Roman"/>
          <w:color w:val="000000"/>
          <w:sz w:val="24"/>
          <w:szCs w:val="24"/>
          <w:lang w:eastAsia="fr-FR"/>
        </w:rPr>
        <w:t xml:space="preserve"> 7,7 </w:t>
      </w:r>
      <w:proofErr w:type="spellStart"/>
      <w:r w:rsidRPr="00C17E3B">
        <w:rPr>
          <w:rFonts w:ascii="Times New Roman" w:eastAsia="Times New Roman" w:hAnsi="Times New Roman" w:cs="Times New Roman"/>
          <w:color w:val="000000"/>
          <w:sz w:val="24"/>
          <w:szCs w:val="24"/>
          <w:lang w:eastAsia="fr-FR"/>
        </w:rPr>
        <w:t>mmHg</w:t>
      </w:r>
      <w:proofErr w:type="spellEnd"/>
      <w:r w:rsidRPr="00C17E3B">
        <w:rPr>
          <w:rFonts w:ascii="Times New Roman" w:eastAsia="Times New Roman" w:hAnsi="Times New Roman" w:cs="Times New Roman"/>
          <w:color w:val="000000"/>
          <w:sz w:val="24"/>
          <w:szCs w:val="24"/>
          <w:lang w:eastAsia="fr-FR"/>
        </w:rPr>
        <w:t xml:space="preserve">, </w:t>
      </w:r>
      <w:proofErr w:type="spellStart"/>
      <w:r w:rsidRPr="00C17E3B">
        <w:rPr>
          <w:rFonts w:ascii="Times New Roman" w:eastAsia="Times New Roman" w:hAnsi="Times New Roman" w:cs="Times New Roman"/>
          <w:color w:val="000000"/>
          <w:sz w:val="24"/>
          <w:szCs w:val="24"/>
          <w:lang w:eastAsia="fr-FR"/>
        </w:rPr>
        <w:t>célécoxib</w:t>
      </w:r>
      <w:proofErr w:type="spellEnd"/>
      <w:r w:rsidRPr="00C17E3B">
        <w:rPr>
          <w:rFonts w:ascii="Times New Roman" w:eastAsia="Times New Roman" w:hAnsi="Times New Roman" w:cs="Times New Roman"/>
          <w:color w:val="000000"/>
          <w:sz w:val="24"/>
          <w:szCs w:val="24"/>
          <w:lang w:eastAsia="fr-FR"/>
        </w:rPr>
        <w:t xml:space="preserve"> 2,4 </w:t>
      </w:r>
      <w:proofErr w:type="spellStart"/>
      <w:r w:rsidRPr="00C17E3B">
        <w:rPr>
          <w:rFonts w:ascii="Times New Roman" w:eastAsia="Times New Roman" w:hAnsi="Times New Roman" w:cs="Times New Roman"/>
          <w:color w:val="000000"/>
          <w:sz w:val="24"/>
          <w:szCs w:val="24"/>
          <w:lang w:eastAsia="fr-FR"/>
        </w:rPr>
        <w:t>mmHg</w:t>
      </w:r>
      <w:proofErr w:type="spellEnd"/>
      <w:r w:rsidRPr="00C17E3B">
        <w:rPr>
          <w:rFonts w:ascii="Times New Roman" w:eastAsia="Times New Roman" w:hAnsi="Times New Roman" w:cs="Times New Roman"/>
          <w:color w:val="000000"/>
          <w:sz w:val="24"/>
          <w:szCs w:val="24"/>
          <w:lang w:eastAsia="fr-FR"/>
        </w:rPr>
        <w:t xml:space="preserve">, </w:t>
      </w:r>
      <w:proofErr w:type="spellStart"/>
      <w:r w:rsidRPr="00C17E3B">
        <w:rPr>
          <w:rFonts w:ascii="Times New Roman" w:eastAsia="Times New Roman" w:hAnsi="Times New Roman" w:cs="Times New Roman"/>
          <w:color w:val="000000"/>
          <w:sz w:val="24"/>
          <w:szCs w:val="24"/>
          <w:lang w:eastAsia="fr-FR"/>
        </w:rPr>
        <w:t>naproxène</w:t>
      </w:r>
      <w:proofErr w:type="spellEnd"/>
      <w:r w:rsidRPr="00C17E3B">
        <w:rPr>
          <w:rFonts w:ascii="Times New Roman" w:eastAsia="Times New Roman" w:hAnsi="Times New Roman" w:cs="Times New Roman"/>
          <w:color w:val="000000"/>
          <w:sz w:val="24"/>
          <w:szCs w:val="24"/>
          <w:lang w:eastAsia="fr-FR"/>
        </w:rPr>
        <w:t xml:space="preserve"> 3,6 </w:t>
      </w:r>
      <w:proofErr w:type="spellStart"/>
      <w:r w:rsidRPr="00C17E3B">
        <w:rPr>
          <w:rFonts w:ascii="Times New Roman" w:eastAsia="Times New Roman" w:hAnsi="Times New Roman" w:cs="Times New Roman"/>
          <w:color w:val="000000"/>
          <w:sz w:val="24"/>
          <w:szCs w:val="24"/>
          <w:lang w:eastAsia="fr-FR"/>
        </w:rPr>
        <w:t>mmHg</w:t>
      </w:r>
      <w:proofErr w:type="spellEnd"/>
      <w:r w:rsidRPr="00C17E3B">
        <w:rPr>
          <w:rFonts w:ascii="Times New Roman" w:eastAsia="Times New Roman" w:hAnsi="Times New Roman" w:cs="Times New Roman"/>
          <w:color w:val="000000"/>
          <w:sz w:val="24"/>
          <w:szCs w:val="24"/>
          <w:lang w:eastAsia="fr-FR"/>
        </w:rPr>
        <w:t xml:space="preserve">). </w:t>
      </w:r>
    </w:p>
    <w:p w:rsidR="00C17E3B" w:rsidRPr="00C17E3B" w:rsidRDefault="00C17E3B" w:rsidP="00C17E3B">
      <w:pPr>
        <w:spacing w:after="0" w:line="240" w:lineRule="auto"/>
        <w:rPr>
          <w:rFonts w:ascii="Times New Roman" w:eastAsia="Times New Roman" w:hAnsi="Times New Roman" w:cs="Times New Roman"/>
          <w:color w:val="000000"/>
          <w:sz w:val="24"/>
          <w:szCs w:val="24"/>
          <w:lang w:eastAsia="fr-FR"/>
        </w:rPr>
      </w:pPr>
      <w:bookmarkStart w:id="0" w:name="pharc"/>
      <w:bookmarkEnd w:id="0"/>
    </w:p>
    <w:sectPr w:rsidR="00C17E3B" w:rsidRPr="00C17E3B"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C5CA6"/>
    <w:rsid w:val="0006330F"/>
    <w:rsid w:val="00066E32"/>
    <w:rsid w:val="0009769E"/>
    <w:rsid w:val="000C4178"/>
    <w:rsid w:val="00120A2B"/>
    <w:rsid w:val="001A53D5"/>
    <w:rsid w:val="00282113"/>
    <w:rsid w:val="003164DC"/>
    <w:rsid w:val="00370323"/>
    <w:rsid w:val="004276C2"/>
    <w:rsid w:val="004771A7"/>
    <w:rsid w:val="00587FAE"/>
    <w:rsid w:val="0062264F"/>
    <w:rsid w:val="00673C6F"/>
    <w:rsid w:val="006A4DC8"/>
    <w:rsid w:val="006D4445"/>
    <w:rsid w:val="0070624C"/>
    <w:rsid w:val="0078077B"/>
    <w:rsid w:val="007A24F8"/>
    <w:rsid w:val="007E4829"/>
    <w:rsid w:val="00816CD7"/>
    <w:rsid w:val="008F30B2"/>
    <w:rsid w:val="00911C5C"/>
    <w:rsid w:val="009D77C6"/>
    <w:rsid w:val="00A85F40"/>
    <w:rsid w:val="00A93A8E"/>
    <w:rsid w:val="00B37108"/>
    <w:rsid w:val="00B53AA5"/>
    <w:rsid w:val="00BB2DA5"/>
    <w:rsid w:val="00BC5CA6"/>
    <w:rsid w:val="00BD7D2C"/>
    <w:rsid w:val="00C12BD3"/>
    <w:rsid w:val="00C17E3B"/>
    <w:rsid w:val="00C22AEF"/>
    <w:rsid w:val="00C54779"/>
    <w:rsid w:val="00C60C3B"/>
    <w:rsid w:val="00C75EA1"/>
    <w:rsid w:val="00D914B1"/>
    <w:rsid w:val="00DE34F8"/>
    <w:rsid w:val="00E651C1"/>
    <w:rsid w:val="00EA27A9"/>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BC5CA6"/>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CA6"/>
    <w:rPr>
      <w:rFonts w:ascii="Times New Roman" w:eastAsia="Times New Roman" w:hAnsi="Times New Roman" w:cs="Times New Roman"/>
      <w:b/>
      <w:bCs/>
      <w:color w:val="000000"/>
      <w:sz w:val="36"/>
      <w:szCs w:val="36"/>
      <w:lang w:eastAsia="fr-FR"/>
    </w:rPr>
  </w:style>
  <w:style w:type="character" w:styleId="Lienhypertexte">
    <w:name w:val="Hyperlink"/>
    <w:basedOn w:val="Policepardfaut"/>
    <w:uiPriority w:val="99"/>
    <w:semiHidden/>
    <w:unhideWhenUsed/>
    <w:rsid w:val="00BC5CA6"/>
    <w:rPr>
      <w:color w:val="990000"/>
      <w:u w:val="single"/>
    </w:rPr>
  </w:style>
  <w:style w:type="paragraph" w:styleId="NormalWeb">
    <w:name w:val="Normal (Web)"/>
    <w:basedOn w:val="Normal"/>
    <w:uiPriority w:val="99"/>
    <w:semiHidden/>
    <w:unhideWhenUsed/>
    <w:rsid w:val="00BC5CA6"/>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25759813">
      <w:bodyDiv w:val="1"/>
      <w:marLeft w:val="0"/>
      <w:marRight w:val="0"/>
      <w:marTop w:val="0"/>
      <w:marBottom w:val="0"/>
      <w:divBdr>
        <w:top w:val="none" w:sz="0" w:space="0" w:color="auto"/>
        <w:left w:val="none" w:sz="0" w:space="0" w:color="auto"/>
        <w:bottom w:val="none" w:sz="0" w:space="0" w:color="auto"/>
        <w:right w:val="none" w:sz="0" w:space="0" w:color="auto"/>
      </w:divBdr>
      <w:divsChild>
        <w:div w:id="276916702">
          <w:marLeft w:val="0"/>
          <w:marRight w:val="0"/>
          <w:marTop w:val="0"/>
          <w:marBottom w:val="0"/>
          <w:divBdr>
            <w:top w:val="none" w:sz="0" w:space="0" w:color="auto"/>
            <w:left w:val="none" w:sz="0" w:space="0" w:color="auto"/>
            <w:bottom w:val="none" w:sz="0" w:space="0" w:color="auto"/>
            <w:right w:val="none" w:sz="0" w:space="0" w:color="auto"/>
          </w:divBdr>
        </w:div>
        <w:div w:id="1724523684">
          <w:marLeft w:val="0"/>
          <w:marRight w:val="0"/>
          <w:marTop w:val="0"/>
          <w:marBottom w:val="0"/>
          <w:divBdr>
            <w:top w:val="none" w:sz="0" w:space="0" w:color="auto"/>
            <w:left w:val="none" w:sz="0" w:space="0" w:color="auto"/>
            <w:bottom w:val="none" w:sz="0" w:space="0" w:color="auto"/>
            <w:right w:val="none" w:sz="0" w:space="0" w:color="auto"/>
          </w:divBdr>
        </w:div>
        <w:div w:id="1521313206">
          <w:marLeft w:val="0"/>
          <w:marRight w:val="0"/>
          <w:marTop w:val="0"/>
          <w:marBottom w:val="0"/>
          <w:divBdr>
            <w:top w:val="none" w:sz="0" w:space="0" w:color="auto"/>
            <w:left w:val="none" w:sz="0" w:space="0" w:color="auto"/>
            <w:bottom w:val="none" w:sz="0" w:space="0" w:color="auto"/>
            <w:right w:val="none" w:sz="0" w:space="0" w:color="auto"/>
          </w:divBdr>
        </w:div>
        <w:div w:id="694160232">
          <w:marLeft w:val="0"/>
          <w:marRight w:val="0"/>
          <w:marTop w:val="0"/>
          <w:marBottom w:val="0"/>
          <w:divBdr>
            <w:top w:val="none" w:sz="0" w:space="0" w:color="auto"/>
            <w:left w:val="none" w:sz="0" w:space="0" w:color="auto"/>
            <w:bottom w:val="none" w:sz="0" w:space="0" w:color="auto"/>
            <w:right w:val="none" w:sz="0" w:space="0" w:color="auto"/>
          </w:divBdr>
        </w:div>
        <w:div w:id="1709910446">
          <w:marLeft w:val="0"/>
          <w:marRight w:val="0"/>
          <w:marTop w:val="0"/>
          <w:marBottom w:val="0"/>
          <w:divBdr>
            <w:top w:val="none" w:sz="0" w:space="0" w:color="auto"/>
            <w:left w:val="none" w:sz="0" w:space="0" w:color="auto"/>
            <w:bottom w:val="none" w:sz="0" w:space="0" w:color="auto"/>
            <w:right w:val="none" w:sz="0" w:space="0" w:color="auto"/>
          </w:divBdr>
        </w:div>
        <w:div w:id="902984023">
          <w:marLeft w:val="0"/>
          <w:marRight w:val="0"/>
          <w:marTop w:val="0"/>
          <w:marBottom w:val="0"/>
          <w:divBdr>
            <w:top w:val="none" w:sz="0" w:space="0" w:color="auto"/>
            <w:left w:val="none" w:sz="0" w:space="0" w:color="auto"/>
            <w:bottom w:val="none" w:sz="0" w:space="0" w:color="auto"/>
            <w:right w:val="none" w:sz="0" w:space="0" w:color="auto"/>
          </w:divBdr>
        </w:div>
        <w:div w:id="1369456871">
          <w:marLeft w:val="0"/>
          <w:marRight w:val="0"/>
          <w:marTop w:val="0"/>
          <w:marBottom w:val="0"/>
          <w:divBdr>
            <w:top w:val="none" w:sz="0" w:space="0" w:color="auto"/>
            <w:left w:val="none" w:sz="0" w:space="0" w:color="auto"/>
            <w:bottom w:val="none" w:sz="0" w:space="0" w:color="auto"/>
            <w:right w:val="none" w:sz="0" w:space="0" w:color="auto"/>
          </w:divBdr>
        </w:div>
        <w:div w:id="2106726850">
          <w:marLeft w:val="0"/>
          <w:marRight w:val="0"/>
          <w:marTop w:val="0"/>
          <w:marBottom w:val="0"/>
          <w:divBdr>
            <w:top w:val="none" w:sz="0" w:space="0" w:color="auto"/>
            <w:left w:val="none" w:sz="0" w:space="0" w:color="auto"/>
            <w:bottom w:val="none" w:sz="0" w:space="0" w:color="auto"/>
            <w:right w:val="none" w:sz="0" w:space="0" w:color="auto"/>
          </w:divBdr>
        </w:div>
        <w:div w:id="888154921">
          <w:marLeft w:val="0"/>
          <w:marRight w:val="0"/>
          <w:marTop w:val="0"/>
          <w:marBottom w:val="0"/>
          <w:divBdr>
            <w:top w:val="none" w:sz="0" w:space="0" w:color="auto"/>
            <w:left w:val="none" w:sz="0" w:space="0" w:color="auto"/>
            <w:bottom w:val="none" w:sz="0" w:space="0" w:color="auto"/>
            <w:right w:val="none" w:sz="0" w:space="0" w:color="auto"/>
          </w:divBdr>
        </w:div>
        <w:div w:id="1734158501">
          <w:marLeft w:val="0"/>
          <w:marRight w:val="0"/>
          <w:marTop w:val="0"/>
          <w:marBottom w:val="0"/>
          <w:divBdr>
            <w:top w:val="none" w:sz="0" w:space="0" w:color="auto"/>
            <w:left w:val="none" w:sz="0" w:space="0" w:color="auto"/>
            <w:bottom w:val="none" w:sz="0" w:space="0" w:color="auto"/>
            <w:right w:val="none" w:sz="0" w:space="0" w:color="auto"/>
          </w:divBdr>
        </w:div>
        <w:div w:id="1340042413">
          <w:marLeft w:val="0"/>
          <w:marRight w:val="0"/>
          <w:marTop w:val="0"/>
          <w:marBottom w:val="0"/>
          <w:divBdr>
            <w:top w:val="none" w:sz="0" w:space="0" w:color="auto"/>
            <w:left w:val="none" w:sz="0" w:space="0" w:color="auto"/>
            <w:bottom w:val="none" w:sz="0" w:space="0" w:color="auto"/>
            <w:right w:val="none" w:sz="0" w:space="0" w:color="auto"/>
          </w:divBdr>
        </w:div>
        <w:div w:id="1634753907">
          <w:marLeft w:val="0"/>
          <w:marRight w:val="0"/>
          <w:marTop w:val="0"/>
          <w:marBottom w:val="0"/>
          <w:divBdr>
            <w:top w:val="none" w:sz="0" w:space="0" w:color="auto"/>
            <w:left w:val="none" w:sz="0" w:space="0" w:color="auto"/>
            <w:bottom w:val="none" w:sz="0" w:space="0" w:color="auto"/>
            <w:right w:val="none" w:sz="0" w:space="0" w:color="auto"/>
          </w:divBdr>
        </w:div>
        <w:div w:id="472914273">
          <w:marLeft w:val="0"/>
          <w:marRight w:val="0"/>
          <w:marTop w:val="0"/>
          <w:marBottom w:val="0"/>
          <w:divBdr>
            <w:top w:val="none" w:sz="0" w:space="0" w:color="auto"/>
            <w:left w:val="none" w:sz="0" w:space="0" w:color="auto"/>
            <w:bottom w:val="none" w:sz="0" w:space="0" w:color="auto"/>
            <w:right w:val="none" w:sz="0" w:space="0" w:color="auto"/>
          </w:divBdr>
        </w:div>
        <w:div w:id="1766339628">
          <w:marLeft w:val="0"/>
          <w:marRight w:val="0"/>
          <w:marTop w:val="0"/>
          <w:marBottom w:val="0"/>
          <w:divBdr>
            <w:top w:val="none" w:sz="0" w:space="0" w:color="auto"/>
            <w:left w:val="none" w:sz="0" w:space="0" w:color="auto"/>
            <w:bottom w:val="none" w:sz="0" w:space="0" w:color="auto"/>
            <w:right w:val="none" w:sz="0" w:space="0" w:color="auto"/>
          </w:divBdr>
        </w:div>
        <w:div w:id="1962684886">
          <w:marLeft w:val="0"/>
          <w:marRight w:val="0"/>
          <w:marTop w:val="0"/>
          <w:marBottom w:val="0"/>
          <w:divBdr>
            <w:top w:val="none" w:sz="0" w:space="0" w:color="auto"/>
            <w:left w:val="none" w:sz="0" w:space="0" w:color="auto"/>
            <w:bottom w:val="none" w:sz="0" w:space="0" w:color="auto"/>
            <w:right w:val="none" w:sz="0" w:space="0" w:color="auto"/>
          </w:divBdr>
        </w:div>
      </w:divsChild>
    </w:div>
    <w:div w:id="325793504">
      <w:bodyDiv w:val="1"/>
      <w:marLeft w:val="0"/>
      <w:marRight w:val="0"/>
      <w:marTop w:val="0"/>
      <w:marBottom w:val="0"/>
      <w:divBdr>
        <w:top w:val="none" w:sz="0" w:space="0" w:color="auto"/>
        <w:left w:val="none" w:sz="0" w:space="0" w:color="auto"/>
        <w:bottom w:val="none" w:sz="0" w:space="0" w:color="auto"/>
        <w:right w:val="none" w:sz="0" w:space="0" w:color="auto"/>
      </w:divBdr>
      <w:divsChild>
        <w:div w:id="1775436020">
          <w:marLeft w:val="0"/>
          <w:marRight w:val="0"/>
          <w:marTop w:val="0"/>
          <w:marBottom w:val="0"/>
          <w:divBdr>
            <w:top w:val="none" w:sz="0" w:space="0" w:color="auto"/>
            <w:left w:val="none" w:sz="0" w:space="0" w:color="auto"/>
            <w:bottom w:val="none" w:sz="0" w:space="0" w:color="auto"/>
            <w:right w:val="none" w:sz="0" w:space="0" w:color="auto"/>
          </w:divBdr>
        </w:div>
        <w:div w:id="465852838">
          <w:marLeft w:val="0"/>
          <w:marRight w:val="0"/>
          <w:marTop w:val="0"/>
          <w:marBottom w:val="0"/>
          <w:divBdr>
            <w:top w:val="none" w:sz="0" w:space="0" w:color="auto"/>
            <w:left w:val="none" w:sz="0" w:space="0" w:color="auto"/>
            <w:bottom w:val="none" w:sz="0" w:space="0" w:color="auto"/>
            <w:right w:val="none" w:sz="0" w:space="0" w:color="auto"/>
          </w:divBdr>
        </w:div>
        <w:div w:id="1675107526">
          <w:marLeft w:val="0"/>
          <w:marRight w:val="0"/>
          <w:marTop w:val="0"/>
          <w:marBottom w:val="0"/>
          <w:divBdr>
            <w:top w:val="none" w:sz="0" w:space="0" w:color="auto"/>
            <w:left w:val="none" w:sz="0" w:space="0" w:color="auto"/>
            <w:bottom w:val="none" w:sz="0" w:space="0" w:color="auto"/>
            <w:right w:val="none" w:sz="0" w:space="0" w:color="auto"/>
          </w:divBdr>
        </w:div>
        <w:div w:id="1571115922">
          <w:marLeft w:val="0"/>
          <w:marRight w:val="0"/>
          <w:marTop w:val="0"/>
          <w:marBottom w:val="0"/>
          <w:divBdr>
            <w:top w:val="none" w:sz="0" w:space="0" w:color="auto"/>
            <w:left w:val="none" w:sz="0" w:space="0" w:color="auto"/>
            <w:bottom w:val="none" w:sz="0" w:space="0" w:color="auto"/>
            <w:right w:val="none" w:sz="0" w:space="0" w:color="auto"/>
          </w:divBdr>
        </w:div>
        <w:div w:id="1449396208">
          <w:marLeft w:val="0"/>
          <w:marRight w:val="0"/>
          <w:marTop w:val="0"/>
          <w:marBottom w:val="0"/>
          <w:divBdr>
            <w:top w:val="none" w:sz="0" w:space="0" w:color="auto"/>
            <w:left w:val="none" w:sz="0" w:space="0" w:color="auto"/>
            <w:bottom w:val="none" w:sz="0" w:space="0" w:color="auto"/>
            <w:right w:val="none" w:sz="0" w:space="0" w:color="auto"/>
          </w:divBdr>
        </w:div>
        <w:div w:id="424811188">
          <w:marLeft w:val="0"/>
          <w:marRight w:val="0"/>
          <w:marTop w:val="0"/>
          <w:marBottom w:val="0"/>
          <w:divBdr>
            <w:top w:val="none" w:sz="0" w:space="0" w:color="auto"/>
            <w:left w:val="none" w:sz="0" w:space="0" w:color="auto"/>
            <w:bottom w:val="none" w:sz="0" w:space="0" w:color="auto"/>
            <w:right w:val="none" w:sz="0" w:space="0" w:color="auto"/>
          </w:divBdr>
        </w:div>
        <w:div w:id="145165610">
          <w:marLeft w:val="0"/>
          <w:marRight w:val="0"/>
          <w:marTop w:val="0"/>
          <w:marBottom w:val="0"/>
          <w:divBdr>
            <w:top w:val="none" w:sz="0" w:space="0" w:color="auto"/>
            <w:left w:val="none" w:sz="0" w:space="0" w:color="auto"/>
            <w:bottom w:val="none" w:sz="0" w:space="0" w:color="auto"/>
            <w:right w:val="none" w:sz="0" w:space="0" w:color="auto"/>
          </w:divBdr>
        </w:div>
        <w:div w:id="553926217">
          <w:marLeft w:val="0"/>
          <w:marRight w:val="0"/>
          <w:marTop w:val="0"/>
          <w:marBottom w:val="0"/>
          <w:divBdr>
            <w:top w:val="none" w:sz="0" w:space="0" w:color="auto"/>
            <w:left w:val="none" w:sz="0" w:space="0" w:color="auto"/>
            <w:bottom w:val="none" w:sz="0" w:space="0" w:color="auto"/>
            <w:right w:val="none" w:sz="0" w:space="0" w:color="auto"/>
          </w:divBdr>
        </w:div>
        <w:div w:id="312686587">
          <w:marLeft w:val="0"/>
          <w:marRight w:val="0"/>
          <w:marTop w:val="0"/>
          <w:marBottom w:val="0"/>
          <w:divBdr>
            <w:top w:val="none" w:sz="0" w:space="0" w:color="auto"/>
            <w:left w:val="none" w:sz="0" w:space="0" w:color="auto"/>
            <w:bottom w:val="none" w:sz="0" w:space="0" w:color="auto"/>
            <w:right w:val="none" w:sz="0" w:space="0" w:color="auto"/>
          </w:divBdr>
        </w:div>
        <w:div w:id="2060006872">
          <w:marLeft w:val="0"/>
          <w:marRight w:val="0"/>
          <w:marTop w:val="0"/>
          <w:marBottom w:val="0"/>
          <w:divBdr>
            <w:top w:val="none" w:sz="0" w:space="0" w:color="auto"/>
            <w:left w:val="none" w:sz="0" w:space="0" w:color="auto"/>
            <w:bottom w:val="none" w:sz="0" w:space="0" w:color="auto"/>
            <w:right w:val="none" w:sz="0" w:space="0" w:color="auto"/>
          </w:divBdr>
        </w:div>
        <w:div w:id="695236638">
          <w:marLeft w:val="0"/>
          <w:marRight w:val="0"/>
          <w:marTop w:val="0"/>
          <w:marBottom w:val="0"/>
          <w:divBdr>
            <w:top w:val="none" w:sz="0" w:space="0" w:color="auto"/>
            <w:left w:val="none" w:sz="0" w:space="0" w:color="auto"/>
            <w:bottom w:val="none" w:sz="0" w:space="0" w:color="auto"/>
            <w:right w:val="none" w:sz="0" w:space="0" w:color="auto"/>
          </w:divBdr>
        </w:div>
        <w:div w:id="1520436861">
          <w:marLeft w:val="0"/>
          <w:marRight w:val="0"/>
          <w:marTop w:val="0"/>
          <w:marBottom w:val="0"/>
          <w:divBdr>
            <w:top w:val="none" w:sz="0" w:space="0" w:color="auto"/>
            <w:left w:val="none" w:sz="0" w:space="0" w:color="auto"/>
            <w:bottom w:val="none" w:sz="0" w:space="0" w:color="auto"/>
            <w:right w:val="none" w:sz="0" w:space="0" w:color="auto"/>
          </w:divBdr>
        </w:div>
        <w:div w:id="913901381">
          <w:marLeft w:val="0"/>
          <w:marRight w:val="0"/>
          <w:marTop w:val="0"/>
          <w:marBottom w:val="0"/>
          <w:divBdr>
            <w:top w:val="none" w:sz="0" w:space="0" w:color="auto"/>
            <w:left w:val="none" w:sz="0" w:space="0" w:color="auto"/>
            <w:bottom w:val="none" w:sz="0" w:space="0" w:color="auto"/>
            <w:right w:val="none" w:sz="0" w:space="0" w:color="auto"/>
          </w:divBdr>
        </w:div>
        <w:div w:id="1681077354">
          <w:marLeft w:val="0"/>
          <w:marRight w:val="0"/>
          <w:marTop w:val="0"/>
          <w:marBottom w:val="0"/>
          <w:divBdr>
            <w:top w:val="none" w:sz="0" w:space="0" w:color="auto"/>
            <w:left w:val="none" w:sz="0" w:space="0" w:color="auto"/>
            <w:bottom w:val="none" w:sz="0" w:space="0" w:color="auto"/>
            <w:right w:val="none" w:sz="0" w:space="0" w:color="auto"/>
          </w:divBdr>
        </w:div>
        <w:div w:id="1482042722">
          <w:marLeft w:val="0"/>
          <w:marRight w:val="0"/>
          <w:marTop w:val="0"/>
          <w:marBottom w:val="0"/>
          <w:divBdr>
            <w:top w:val="none" w:sz="0" w:space="0" w:color="auto"/>
            <w:left w:val="none" w:sz="0" w:space="0" w:color="auto"/>
            <w:bottom w:val="none" w:sz="0" w:space="0" w:color="auto"/>
            <w:right w:val="none" w:sz="0" w:space="0" w:color="auto"/>
          </w:divBdr>
        </w:div>
        <w:div w:id="250164965">
          <w:marLeft w:val="0"/>
          <w:marRight w:val="0"/>
          <w:marTop w:val="0"/>
          <w:marBottom w:val="0"/>
          <w:divBdr>
            <w:top w:val="none" w:sz="0" w:space="0" w:color="auto"/>
            <w:left w:val="none" w:sz="0" w:space="0" w:color="auto"/>
            <w:bottom w:val="none" w:sz="0" w:space="0" w:color="auto"/>
            <w:right w:val="none" w:sz="0" w:space="0" w:color="auto"/>
          </w:divBdr>
        </w:div>
        <w:div w:id="444884060">
          <w:marLeft w:val="0"/>
          <w:marRight w:val="0"/>
          <w:marTop w:val="0"/>
          <w:marBottom w:val="0"/>
          <w:divBdr>
            <w:top w:val="none" w:sz="0" w:space="0" w:color="auto"/>
            <w:left w:val="none" w:sz="0" w:space="0" w:color="auto"/>
            <w:bottom w:val="none" w:sz="0" w:space="0" w:color="auto"/>
            <w:right w:val="none" w:sz="0" w:space="0" w:color="auto"/>
          </w:divBdr>
        </w:div>
        <w:div w:id="1060398984">
          <w:marLeft w:val="0"/>
          <w:marRight w:val="0"/>
          <w:marTop w:val="0"/>
          <w:marBottom w:val="0"/>
          <w:divBdr>
            <w:top w:val="none" w:sz="0" w:space="0" w:color="auto"/>
            <w:left w:val="none" w:sz="0" w:space="0" w:color="auto"/>
            <w:bottom w:val="none" w:sz="0" w:space="0" w:color="auto"/>
            <w:right w:val="none" w:sz="0" w:space="0" w:color="auto"/>
          </w:divBdr>
        </w:div>
        <w:div w:id="1636989843">
          <w:marLeft w:val="0"/>
          <w:marRight w:val="0"/>
          <w:marTop w:val="0"/>
          <w:marBottom w:val="0"/>
          <w:divBdr>
            <w:top w:val="none" w:sz="0" w:space="0" w:color="auto"/>
            <w:left w:val="none" w:sz="0" w:space="0" w:color="auto"/>
            <w:bottom w:val="none" w:sz="0" w:space="0" w:color="auto"/>
            <w:right w:val="none" w:sz="0" w:space="0" w:color="auto"/>
          </w:divBdr>
        </w:div>
        <w:div w:id="686056399">
          <w:marLeft w:val="0"/>
          <w:marRight w:val="0"/>
          <w:marTop w:val="0"/>
          <w:marBottom w:val="0"/>
          <w:divBdr>
            <w:top w:val="none" w:sz="0" w:space="0" w:color="auto"/>
            <w:left w:val="none" w:sz="0" w:space="0" w:color="auto"/>
            <w:bottom w:val="none" w:sz="0" w:space="0" w:color="auto"/>
            <w:right w:val="none" w:sz="0" w:space="0" w:color="auto"/>
          </w:divBdr>
        </w:div>
        <w:div w:id="498008698">
          <w:marLeft w:val="0"/>
          <w:marRight w:val="0"/>
          <w:marTop w:val="0"/>
          <w:marBottom w:val="0"/>
          <w:divBdr>
            <w:top w:val="none" w:sz="0" w:space="0" w:color="auto"/>
            <w:left w:val="none" w:sz="0" w:space="0" w:color="auto"/>
            <w:bottom w:val="none" w:sz="0" w:space="0" w:color="auto"/>
            <w:right w:val="none" w:sz="0" w:space="0" w:color="auto"/>
          </w:divBdr>
        </w:div>
      </w:divsChild>
    </w:div>
    <w:div w:id="1688676397">
      <w:bodyDiv w:val="1"/>
      <w:marLeft w:val="0"/>
      <w:marRight w:val="0"/>
      <w:marTop w:val="0"/>
      <w:marBottom w:val="0"/>
      <w:divBdr>
        <w:top w:val="none" w:sz="0" w:space="0" w:color="auto"/>
        <w:left w:val="none" w:sz="0" w:space="0" w:color="auto"/>
        <w:bottom w:val="none" w:sz="0" w:space="0" w:color="auto"/>
        <w:right w:val="none" w:sz="0" w:space="0" w:color="auto"/>
      </w:divBdr>
      <w:divsChild>
        <w:div w:id="1105346022">
          <w:marLeft w:val="0"/>
          <w:marRight w:val="0"/>
          <w:marTop w:val="0"/>
          <w:marBottom w:val="0"/>
          <w:divBdr>
            <w:top w:val="none" w:sz="0" w:space="0" w:color="auto"/>
            <w:left w:val="none" w:sz="0" w:space="0" w:color="auto"/>
            <w:bottom w:val="none" w:sz="0" w:space="0" w:color="auto"/>
            <w:right w:val="none" w:sz="0" w:space="0" w:color="auto"/>
          </w:divBdr>
        </w:div>
        <w:div w:id="1083450890">
          <w:marLeft w:val="0"/>
          <w:marRight w:val="0"/>
          <w:marTop w:val="0"/>
          <w:marBottom w:val="0"/>
          <w:divBdr>
            <w:top w:val="none" w:sz="0" w:space="0" w:color="auto"/>
            <w:left w:val="none" w:sz="0" w:space="0" w:color="auto"/>
            <w:bottom w:val="none" w:sz="0" w:space="0" w:color="auto"/>
            <w:right w:val="none" w:sz="0" w:space="0" w:color="auto"/>
          </w:divBdr>
        </w:div>
        <w:div w:id="702169161">
          <w:marLeft w:val="0"/>
          <w:marRight w:val="0"/>
          <w:marTop w:val="0"/>
          <w:marBottom w:val="0"/>
          <w:divBdr>
            <w:top w:val="none" w:sz="0" w:space="0" w:color="auto"/>
            <w:left w:val="none" w:sz="0" w:space="0" w:color="auto"/>
            <w:bottom w:val="none" w:sz="0" w:space="0" w:color="auto"/>
            <w:right w:val="none" w:sz="0" w:space="0" w:color="auto"/>
          </w:divBdr>
        </w:div>
        <w:div w:id="1583755923">
          <w:marLeft w:val="0"/>
          <w:marRight w:val="0"/>
          <w:marTop w:val="0"/>
          <w:marBottom w:val="0"/>
          <w:divBdr>
            <w:top w:val="none" w:sz="0" w:space="0" w:color="auto"/>
            <w:left w:val="none" w:sz="0" w:space="0" w:color="auto"/>
            <w:bottom w:val="none" w:sz="0" w:space="0" w:color="auto"/>
            <w:right w:val="none" w:sz="0" w:space="0" w:color="auto"/>
          </w:divBdr>
        </w:div>
        <w:div w:id="10378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2513</Words>
  <Characters>13824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2013-01-29T08:58:00Z</dcterms:created>
  <dcterms:modified xsi:type="dcterms:W3CDTF">2013-01-29T09:35:00Z</dcterms:modified>
</cp:coreProperties>
</file>